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widowControl w:val="false"/>
        <w:spacing w:before="0" w:after="0" w:line="240"/>
        <w:ind w:right="0" w:left="0" w:firstLine="0"/>
        <w:jc w:val="center"/>
        <w:rPr>
          <w:rFonts w:ascii="Courier New" w:hAnsi="Courier New" w:cs="Courier New" w:eastAsia="Courier New"/>
          <w:color w:val="auto"/>
          <w:spacing w:val="0"/>
          <w:position w:val="0"/>
          <w:sz w:val="2"/>
          <w:shd w:fill="auto" w:val="clear"/>
        </w:rPr>
      </w:pPr>
    </w:p>
    <w:p>
      <w:pPr>
        <w:keepNext w:val="true"/>
        <w:spacing w:before="0" w:after="0" w:line="228"/>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РОССИЙСКАЯ ФЕДЕРАЦИЯ</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ИРКУТСКАЯ ОБЛАСТЬ</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АЛАРСКИЙ РАЙОН</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МУНИЦИПАЛЬНОЕ ОБРАЗОВАНИЕ «АЛЯТЫ»</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ФИНАНСОВЫЙ  ОТДЕЛ</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ПРИКАЗ</w:t>
        <w:tab/>
      </w: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от 14.01.2022г.  № 1                                                                                с.Аляты</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43" w:left="0" w:firstLine="0"/>
        <w:jc w:val="left"/>
        <w:rPr>
          <w:rFonts w:ascii="Times New Roman" w:hAnsi="Times New Roman" w:cs="Times New Roman" w:eastAsia="Times New Roman"/>
          <w:color w:val="auto"/>
          <w:spacing w:val="-8"/>
          <w:position w:val="0"/>
          <w:sz w:val="24"/>
          <w:shd w:fill="auto" w:val="clear"/>
        </w:rPr>
      </w:pPr>
    </w:p>
    <w:p>
      <w:pPr>
        <w:spacing w:before="0" w:after="0" w:line="240"/>
        <w:ind w:right="43"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8"/>
          <w:position w:val="0"/>
          <w:sz w:val="28"/>
          <w:shd w:fill="auto" w:val="clear"/>
        </w:rPr>
        <w:t xml:space="preserve">Об </w:t>
      </w:r>
      <w:r>
        <w:rPr>
          <w:rFonts w:ascii="Times New Roman" w:hAnsi="Times New Roman" w:cs="Times New Roman" w:eastAsia="Times New Roman"/>
          <w:b/>
          <w:color w:val="auto"/>
          <w:spacing w:val="-1"/>
          <w:position w:val="0"/>
          <w:sz w:val="28"/>
          <w:shd w:fill="auto" w:val="clear"/>
        </w:rPr>
        <w:t xml:space="preserve">утверждении Порядка</w:t>
      </w:r>
      <w:r>
        <w:rPr>
          <w:rFonts w:ascii="Times New Roman" w:hAnsi="Times New Roman" w:cs="Times New Roman" w:eastAsia="Times New Roman"/>
          <w:b/>
          <w:color w:val="auto"/>
          <w:spacing w:val="0"/>
          <w:position w:val="0"/>
          <w:sz w:val="28"/>
          <w:shd w:fill="auto" w:val="clear"/>
        </w:rPr>
        <w:t xml:space="preserve"> учета бюджетных и денежных обязательств получателей средств бюджета муниципального образования «Аляты»</w:t>
      </w:r>
    </w:p>
    <w:p>
      <w:pPr>
        <w:tabs>
          <w:tab w:val="left" w:pos="4253" w:leader="none"/>
        </w:tabs>
        <w:spacing w:before="0" w:after="0" w:line="240"/>
        <w:ind w:right="5876" w:left="0" w:firstLine="567"/>
        <w:jc w:val="both"/>
        <w:rPr>
          <w:rFonts w:ascii="Times New Roman" w:hAnsi="Times New Roman" w:cs="Times New Roman" w:eastAsia="Times New Roman"/>
          <w:color w:val="auto"/>
          <w:spacing w:val="0"/>
          <w:position w:val="0"/>
          <w:sz w:val="28"/>
          <w:shd w:fill="auto" w:val="clear"/>
        </w:rPr>
      </w:pPr>
    </w:p>
    <w:p>
      <w:pPr>
        <w:spacing w:before="0" w:after="0" w:line="240"/>
        <w:ind w:right="0" w:left="0" w:firstLine="54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В соответствии со ст. 219 Бюджетного кодекса Российской Федерации, Уставом муниципального образования «Аляты», Положением "О бюджетном процессе в муниципальном образовании «Аляты»", утвержденным решением Думы муниципального образования «Аляты» от 18.09.2014 г.№ 15-дмо, финансовый отдел администрации муниципального образования «Аляты»,</w:t>
      </w:r>
    </w:p>
    <w:p>
      <w:pPr>
        <w:spacing w:before="0" w:after="0" w:line="240"/>
        <w:ind w:right="0" w:left="0" w:firstLine="567"/>
        <w:jc w:val="both"/>
        <w:rPr>
          <w:rFonts w:ascii="Times New Roman" w:hAnsi="Times New Roman" w:cs="Times New Roman" w:eastAsia="Times New Roman"/>
          <w:color w:val="auto"/>
          <w:spacing w:val="0"/>
          <w:position w:val="0"/>
          <w:sz w:val="28"/>
          <w:shd w:fill="auto" w:val="clear"/>
        </w:rPr>
      </w:pPr>
    </w:p>
    <w:p>
      <w:pPr>
        <w:tabs>
          <w:tab w:val="left" w:pos="4253" w:leader="none"/>
        </w:tabs>
        <w:spacing w:before="0" w:after="0" w:line="240"/>
        <w:ind w:right="0" w:left="0" w:firstLine="567"/>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ПРИКАЗЫВАЕТ:</w:t>
      </w:r>
    </w:p>
    <w:p>
      <w:pPr>
        <w:spacing w:before="0" w:after="0" w:line="240"/>
        <w:ind w:right="0" w:left="0" w:firstLine="567"/>
        <w:jc w:val="both"/>
        <w:rPr>
          <w:rFonts w:ascii="Times New Roman" w:hAnsi="Times New Roman" w:cs="Times New Roman" w:eastAsia="Times New Roman"/>
          <w:color w:val="auto"/>
          <w:spacing w:val="0"/>
          <w:position w:val="0"/>
          <w:sz w:val="28"/>
          <w:shd w:fill="auto" w:val="clear"/>
        </w:rPr>
      </w:pPr>
    </w:p>
    <w:p>
      <w:pPr>
        <w:numPr>
          <w:ilvl w:val="0"/>
          <w:numId w:val="12"/>
        </w:numPr>
        <w:spacing w:before="0" w:after="0" w:line="240"/>
        <w:ind w:right="0" w:left="0" w:firstLine="55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Утвердить </w:t>
      </w:r>
      <w:r>
        <w:rPr>
          <w:rFonts w:ascii="Times New Roman" w:hAnsi="Times New Roman" w:cs="Times New Roman" w:eastAsia="Times New Roman"/>
          <w:color w:val="auto"/>
          <w:spacing w:val="-1"/>
          <w:position w:val="0"/>
          <w:sz w:val="28"/>
          <w:shd w:fill="auto" w:val="clear"/>
        </w:rPr>
        <w:t xml:space="preserve">Порядок</w:t>
      </w:r>
      <w:r>
        <w:rPr>
          <w:rFonts w:ascii="Times New Roman" w:hAnsi="Times New Roman" w:cs="Times New Roman" w:eastAsia="Times New Roman"/>
          <w:color w:val="auto"/>
          <w:spacing w:val="0"/>
          <w:position w:val="0"/>
          <w:sz w:val="28"/>
          <w:shd w:fill="auto" w:val="clear"/>
        </w:rPr>
        <w:t xml:space="preserve"> учета бюджетных и денежных обязательств</w:t>
      </w:r>
      <w:r>
        <w:rPr>
          <w:rFonts w:ascii="Times New Roman" w:hAnsi="Times New Roman" w:cs="Times New Roman" w:eastAsia="Times New Roman"/>
          <w:color w:val="auto"/>
          <w:spacing w:val="-1"/>
          <w:position w:val="0"/>
          <w:sz w:val="28"/>
          <w:shd w:fill="auto" w:val="clear"/>
        </w:rPr>
        <w:t xml:space="preserve"> получателей средств </w:t>
      </w:r>
      <w:r>
        <w:rPr>
          <w:rFonts w:ascii="Times New Roman" w:hAnsi="Times New Roman" w:cs="Times New Roman" w:eastAsia="Times New Roman"/>
          <w:color w:val="auto"/>
          <w:spacing w:val="0"/>
          <w:position w:val="0"/>
          <w:sz w:val="28"/>
          <w:shd w:fill="auto" w:val="clear"/>
        </w:rPr>
        <w:t xml:space="preserve">бюджета муниципального образования «Аляты», согласно приложению.</w:t>
      </w:r>
    </w:p>
    <w:p>
      <w:pPr>
        <w:numPr>
          <w:ilvl w:val="0"/>
          <w:numId w:val="12"/>
        </w:numPr>
        <w:spacing w:before="0" w:after="0" w:line="240"/>
        <w:ind w:right="0" w:left="0" w:firstLine="555"/>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Признать утратившим силу приказ финансового отдела администрации муниципального образования «Аляты» от 23.07.2021г. № 2  «Об утверждении </w:t>
      </w:r>
      <w:r>
        <w:rPr>
          <w:rFonts w:ascii="Times New Roman" w:hAnsi="Times New Roman" w:cs="Times New Roman" w:eastAsia="Times New Roman"/>
          <w:color w:val="auto"/>
          <w:spacing w:val="-1"/>
          <w:position w:val="0"/>
          <w:sz w:val="28"/>
          <w:shd w:fill="auto" w:val="clear"/>
        </w:rPr>
        <w:t xml:space="preserve">Порядка </w:t>
      </w:r>
      <w:r>
        <w:rPr>
          <w:rFonts w:ascii="Times New Roman" w:hAnsi="Times New Roman" w:cs="Times New Roman" w:eastAsia="Times New Roman"/>
          <w:color w:val="auto"/>
          <w:spacing w:val="0"/>
          <w:position w:val="0"/>
          <w:sz w:val="28"/>
          <w:shd w:fill="auto" w:val="clear"/>
        </w:rPr>
        <w:t xml:space="preserve">исполнения бюджета муниципального образования «Аляты» по расходам и источникам финансирования дефицита бюджета».</w:t>
      </w:r>
    </w:p>
    <w:p>
      <w:pPr>
        <w:spacing w:before="0" w:after="0" w:line="240"/>
        <w:ind w:right="0" w:left="555"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3. Настоящий приказ вступает в силу с 01.01.2022 года.</w:t>
      </w:r>
    </w:p>
    <w:p>
      <w:pPr>
        <w:tabs>
          <w:tab w:val="left" w:pos="1134" w:leader="none"/>
        </w:tabs>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4. Опубликовать настоящий приказ в информационном печатном средстве массовой информации «Алятский вестник» и разместить на официальном сайте администрации муниципального образования «Аляты» в информационно-телекоммуникационной сети «Интернет».</w:t>
      </w:r>
    </w:p>
    <w:p>
      <w:pPr>
        <w:spacing w:before="0" w:after="0" w:line="240"/>
        <w:ind w:right="0" w:left="0" w:firstLine="54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8"/>
          <w:shd w:fill="auto" w:val="clear"/>
        </w:rPr>
        <w:t xml:space="preserve">5. Контроль за исполнением настоящего приказа возложить на начальника финансового отдела Убашееву М.В.</w:t>
      </w:r>
    </w:p>
    <w:p>
      <w:pPr>
        <w:spacing w:before="0" w:after="0" w:line="240"/>
        <w:ind w:right="0" w:left="-426" w:firstLine="709"/>
        <w:jc w:val="both"/>
        <w:rPr>
          <w:rFonts w:ascii="Times New Roman" w:hAnsi="Times New Roman" w:cs="Times New Roman" w:eastAsia="Times New Roman"/>
          <w:color w:val="auto"/>
          <w:spacing w:val="0"/>
          <w:position w:val="0"/>
          <w:sz w:val="24"/>
          <w:shd w:fill="auto" w:val="clear"/>
        </w:rPr>
      </w:pPr>
    </w:p>
    <w:p>
      <w:pPr>
        <w:spacing w:before="0" w:after="0" w:line="240"/>
        <w:ind w:right="0" w:left="-426" w:firstLine="709"/>
        <w:jc w:val="both"/>
        <w:rPr>
          <w:rFonts w:ascii="Times New Roman" w:hAnsi="Times New Roman" w:cs="Times New Roman" w:eastAsia="Times New Roman"/>
          <w:color w:val="auto"/>
          <w:spacing w:val="0"/>
          <w:position w:val="0"/>
          <w:sz w:val="24"/>
          <w:shd w:fill="auto" w:val="clear"/>
        </w:rPr>
      </w:pPr>
    </w:p>
    <w:p>
      <w:pPr>
        <w:tabs>
          <w:tab w:val="left" w:pos="709" w:leader="none"/>
        </w:tabs>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8"/>
          <w:shd w:fill="auto" w:val="clear"/>
        </w:rPr>
        <w:t xml:space="preserve">Начальник финансового</w:t>
      </w:r>
    </w:p>
    <w:p>
      <w:pPr>
        <w:tabs>
          <w:tab w:val="left" w:pos="709" w:leader="none"/>
        </w:tabs>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отдела                                                                                     Убашеева М.В.</w:t>
      </w: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293"/>
        <w:ind w:right="20" w:left="0" w:firstLine="0"/>
        <w:jc w:val="center"/>
        <w:rPr>
          <w:rFonts w:ascii="Courier New" w:hAnsi="Courier New" w:cs="Courier New" w:eastAsia="Courier New"/>
          <w:b/>
          <w:color w:val="000000"/>
          <w:spacing w:val="0"/>
          <w:position w:val="0"/>
          <w:sz w:val="23"/>
          <w:shd w:fill="auto" w:val="clear"/>
        </w:rPr>
      </w:pPr>
    </w:p>
    <w:p>
      <w:pPr>
        <w:widowControl w:val="false"/>
        <w:spacing w:before="0" w:after="0" w:line="293"/>
        <w:ind w:right="20" w:left="0" w:firstLine="0"/>
        <w:jc w:val="center"/>
        <w:rPr>
          <w:rFonts w:ascii="Courier New" w:hAnsi="Courier New" w:cs="Courier New" w:eastAsia="Courier New"/>
          <w:b/>
          <w:color w:val="000000"/>
          <w:spacing w:val="0"/>
          <w:position w:val="0"/>
          <w:sz w:val="23"/>
          <w:shd w:fill="auto" w:val="clear"/>
        </w:rPr>
      </w:pPr>
    </w:p>
    <w:p>
      <w:pPr>
        <w:widowControl w:val="false"/>
        <w:spacing w:before="0" w:after="0" w:line="293"/>
        <w:ind w:right="20" w:left="0" w:firstLine="0"/>
        <w:jc w:val="center"/>
        <w:rPr>
          <w:rFonts w:ascii="Courier New" w:hAnsi="Courier New" w:cs="Courier New" w:eastAsia="Courier New"/>
          <w:b/>
          <w:color w:val="000000"/>
          <w:spacing w:val="0"/>
          <w:position w:val="0"/>
          <w:sz w:val="23"/>
          <w:shd w:fill="auto" w:val="clear"/>
        </w:rPr>
      </w:pPr>
    </w:p>
    <w:p>
      <w:pPr>
        <w:widowControl w:val="false"/>
        <w:spacing w:before="0" w:after="0" w:line="293"/>
        <w:ind w:right="20" w:left="0" w:firstLine="0"/>
        <w:jc w:val="right"/>
        <w:rPr>
          <w:rFonts w:ascii="Courier New" w:hAnsi="Courier New" w:cs="Courier New" w:eastAsia="Courier New"/>
          <w:b/>
          <w:color w:val="000000"/>
          <w:spacing w:val="0"/>
          <w:position w:val="0"/>
          <w:sz w:val="23"/>
          <w:shd w:fill="auto" w:val="clear"/>
        </w:rPr>
      </w:pPr>
      <w:r>
        <w:rPr>
          <w:rFonts w:ascii="Courier New" w:hAnsi="Courier New" w:cs="Courier New" w:eastAsia="Courier New"/>
          <w:b/>
          <w:color w:val="000000"/>
          <w:spacing w:val="0"/>
          <w:position w:val="0"/>
          <w:sz w:val="23"/>
          <w:shd w:fill="auto" w:val="clear"/>
        </w:rPr>
        <w:t xml:space="preserve">Приложение</w:t>
      </w:r>
    </w:p>
    <w:p>
      <w:pPr>
        <w:widowControl w:val="false"/>
        <w:spacing w:before="0" w:after="0" w:line="293"/>
        <w:ind w:right="20" w:left="0" w:firstLine="0"/>
        <w:jc w:val="right"/>
        <w:rPr>
          <w:rFonts w:ascii="Courier New" w:hAnsi="Courier New" w:cs="Courier New" w:eastAsia="Courier New"/>
          <w:color w:val="000000"/>
          <w:spacing w:val="0"/>
          <w:position w:val="0"/>
          <w:sz w:val="23"/>
          <w:shd w:fill="auto" w:val="clear"/>
        </w:rPr>
      </w:pPr>
      <w:r>
        <w:rPr>
          <w:rFonts w:ascii="Courier New" w:hAnsi="Courier New" w:cs="Courier New" w:eastAsia="Courier New"/>
          <w:color w:val="000000"/>
          <w:spacing w:val="0"/>
          <w:position w:val="0"/>
          <w:sz w:val="23"/>
          <w:shd w:fill="auto" w:val="clear"/>
        </w:rPr>
        <w:t xml:space="preserve">к приказу финансового отдела </w:t>
      </w:r>
    </w:p>
    <w:p>
      <w:pPr>
        <w:widowControl w:val="false"/>
        <w:spacing w:before="0" w:after="0" w:line="293"/>
        <w:ind w:right="20" w:left="0" w:firstLine="0"/>
        <w:jc w:val="right"/>
        <w:rPr>
          <w:rFonts w:ascii="Courier New" w:hAnsi="Courier New" w:cs="Courier New" w:eastAsia="Courier New"/>
          <w:color w:val="000000"/>
          <w:spacing w:val="0"/>
          <w:position w:val="0"/>
          <w:sz w:val="23"/>
          <w:shd w:fill="auto" w:val="clear"/>
        </w:rPr>
      </w:pPr>
      <w:r>
        <w:rPr>
          <w:rFonts w:ascii="Courier New" w:hAnsi="Courier New" w:cs="Courier New" w:eastAsia="Courier New"/>
          <w:color w:val="000000"/>
          <w:spacing w:val="0"/>
          <w:position w:val="0"/>
          <w:sz w:val="23"/>
          <w:shd w:fill="auto" w:val="clear"/>
        </w:rPr>
        <w:t xml:space="preserve">администрации муниципального </w:t>
      </w:r>
    </w:p>
    <w:p>
      <w:pPr>
        <w:widowControl w:val="false"/>
        <w:spacing w:before="0" w:after="0" w:line="293"/>
        <w:ind w:right="20" w:left="0" w:firstLine="0"/>
        <w:jc w:val="right"/>
        <w:rPr>
          <w:rFonts w:ascii="Courier New" w:hAnsi="Courier New" w:cs="Courier New" w:eastAsia="Courier New"/>
          <w:color w:val="000000"/>
          <w:spacing w:val="0"/>
          <w:position w:val="0"/>
          <w:sz w:val="23"/>
          <w:shd w:fill="auto" w:val="clear"/>
        </w:rPr>
      </w:pPr>
      <w:r>
        <w:rPr>
          <w:rFonts w:ascii="Courier New" w:hAnsi="Courier New" w:cs="Courier New" w:eastAsia="Courier New"/>
          <w:color w:val="000000"/>
          <w:spacing w:val="0"/>
          <w:position w:val="0"/>
          <w:sz w:val="23"/>
          <w:shd w:fill="auto" w:val="clear"/>
        </w:rPr>
        <w:t xml:space="preserve">образования «Аляты» от 14.01.2022 № 1</w:t>
      </w:r>
    </w:p>
    <w:p>
      <w:pPr>
        <w:widowControl w:val="false"/>
        <w:spacing w:before="0" w:after="0" w:line="293"/>
        <w:ind w:right="20" w:left="0" w:firstLine="0"/>
        <w:jc w:val="center"/>
        <w:rPr>
          <w:rFonts w:ascii="Courier New" w:hAnsi="Courier New" w:cs="Courier New" w:eastAsia="Courier New"/>
          <w:b/>
          <w:color w:val="000000"/>
          <w:spacing w:val="0"/>
          <w:position w:val="0"/>
          <w:sz w:val="23"/>
          <w:shd w:fill="auto" w:val="clear"/>
        </w:rPr>
      </w:pPr>
    </w:p>
    <w:p>
      <w:pPr>
        <w:widowControl w:val="false"/>
        <w:spacing w:before="0" w:after="0" w:line="293"/>
        <w:ind w:right="20" w:left="0" w:firstLine="0"/>
        <w:jc w:val="center"/>
        <w:rPr>
          <w:rFonts w:ascii="Courier New" w:hAnsi="Courier New" w:cs="Courier New" w:eastAsia="Courier New"/>
          <w:b/>
          <w:color w:val="000000"/>
          <w:spacing w:val="0"/>
          <w:position w:val="0"/>
          <w:sz w:val="23"/>
          <w:shd w:fill="auto" w:val="clear"/>
        </w:rPr>
      </w:pPr>
    </w:p>
    <w:p>
      <w:pPr>
        <w:widowControl w:val="false"/>
        <w:spacing w:before="0" w:after="0" w:line="293"/>
        <w:ind w:right="20" w:left="0" w:firstLine="0"/>
        <w:jc w:val="center"/>
        <w:rPr>
          <w:rFonts w:ascii="Courier New" w:hAnsi="Courier New" w:cs="Courier New" w:eastAsia="Courier New"/>
          <w:b/>
          <w:color w:val="auto"/>
          <w:spacing w:val="0"/>
          <w:position w:val="0"/>
          <w:sz w:val="23"/>
          <w:shd w:fill="auto" w:val="clear"/>
        </w:rPr>
      </w:pPr>
      <w:r>
        <w:rPr>
          <w:rFonts w:ascii="Courier New" w:hAnsi="Courier New" w:cs="Courier New" w:eastAsia="Courier New"/>
          <w:b/>
          <w:color w:val="000000"/>
          <w:spacing w:val="0"/>
          <w:position w:val="0"/>
          <w:sz w:val="23"/>
          <w:shd w:fill="auto" w:val="clear"/>
        </w:rPr>
        <w:t xml:space="preserve">ПОРЯДОК</w:t>
      </w:r>
    </w:p>
    <w:p>
      <w:pPr>
        <w:widowControl w:val="false"/>
        <w:spacing w:before="0" w:after="0" w:line="293"/>
        <w:ind w:right="20" w:left="0" w:firstLine="0"/>
        <w:jc w:val="center"/>
        <w:rPr>
          <w:rFonts w:ascii="Courier New" w:hAnsi="Courier New" w:cs="Courier New" w:eastAsia="Courier New"/>
          <w:b/>
          <w:color w:val="000000"/>
          <w:spacing w:val="0"/>
          <w:position w:val="0"/>
          <w:sz w:val="23"/>
          <w:shd w:fill="auto" w:val="clear"/>
        </w:rPr>
      </w:pPr>
      <w:r>
        <w:rPr>
          <w:rFonts w:ascii="Courier New" w:hAnsi="Courier New" w:cs="Courier New" w:eastAsia="Courier New"/>
          <w:b/>
          <w:color w:val="000000"/>
          <w:spacing w:val="0"/>
          <w:position w:val="0"/>
          <w:sz w:val="23"/>
          <w:shd w:fill="auto" w:val="clear"/>
        </w:rPr>
        <w:t xml:space="preserve">УЧЕТА БЮДЖЕТНЫХ И ДЕНЕЖНЫХ ОБЯЗАТЕЛЬСТВ ПОЛУЧАТЕЛЕЙ СРЕДСТВ БЮДЖЕТА МУНИЦИПАЛЬНОГО ОБРАЗОВАНИЯ «АЛЯТЫ» </w:t>
      </w:r>
    </w:p>
    <w:p>
      <w:pPr>
        <w:widowControl w:val="false"/>
        <w:spacing w:before="0" w:after="0" w:line="293"/>
        <w:ind w:right="20" w:left="0" w:firstLine="0"/>
        <w:jc w:val="center"/>
        <w:rPr>
          <w:rFonts w:ascii="Courier New" w:hAnsi="Courier New" w:cs="Courier New" w:eastAsia="Courier New"/>
          <w:b/>
          <w:color w:val="auto"/>
          <w:spacing w:val="0"/>
          <w:position w:val="0"/>
          <w:sz w:val="23"/>
          <w:shd w:fill="auto" w:val="clear"/>
        </w:rPr>
      </w:pPr>
    </w:p>
    <w:p>
      <w:pPr>
        <w:widowControl w:val="false"/>
        <w:spacing w:before="0" w:after="33" w:line="230"/>
        <w:ind w:right="20" w:left="0" w:firstLine="0"/>
        <w:jc w:val="center"/>
        <w:rPr>
          <w:rFonts w:ascii="Courier New" w:hAnsi="Courier New" w:cs="Courier New" w:eastAsia="Courier New"/>
          <w:b/>
          <w:color w:val="auto"/>
          <w:spacing w:val="0"/>
          <w:position w:val="0"/>
          <w:sz w:val="23"/>
          <w:shd w:fill="auto" w:val="clear"/>
        </w:rPr>
      </w:pPr>
      <w:r>
        <w:rPr>
          <w:rFonts w:ascii="Courier New" w:hAnsi="Courier New" w:cs="Courier New" w:eastAsia="Courier New"/>
          <w:b/>
          <w:color w:val="000000"/>
          <w:spacing w:val="0"/>
          <w:position w:val="0"/>
          <w:sz w:val="23"/>
          <w:shd w:fill="auto" w:val="clear"/>
        </w:rPr>
        <w:t xml:space="preserve">I. Общие положения</w:t>
      </w:r>
    </w:p>
    <w:p>
      <w:pPr>
        <w:widowControl w:val="false"/>
        <w:numPr>
          <w:ilvl w:val="0"/>
          <w:numId w:val="23"/>
        </w:numPr>
        <w:tabs>
          <w:tab w:val="left" w:pos="1134" w:leader="none"/>
          <w:tab w:val="left" w:pos="1276" w:leader="none"/>
          <w:tab w:val="left" w:pos="1418" w:leader="none"/>
        </w:tabs>
        <w:spacing w:before="0" w:after="0" w:line="289"/>
        <w:ind w:right="40" w:left="40" w:firstLine="62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Настоящий Порядок определяет порядок исполнения бюджета муниципального образования «Аляты» по расходам в части учета бюджетных и денежных обязательств получателей средств бюджета муниципального образования «Аляты» (далее соответственно - бюджетные обязательства, денежные обязательства).</w:t>
      </w:r>
    </w:p>
    <w:p>
      <w:pPr>
        <w:widowControl w:val="false"/>
        <w:numPr>
          <w:ilvl w:val="0"/>
          <w:numId w:val="23"/>
        </w:numPr>
        <w:spacing w:before="0" w:after="0" w:line="289"/>
        <w:ind w:right="40" w:left="40" w:firstLine="62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Постановка на учет бюджетных и денежных обязательств осуществляется в соответствии со Сведениями о бюджетном обязательстве (далее - Сведения о БО) и со Сведениями о денежном обязательстве (далее - Сведения о ДО).</w:t>
      </w:r>
    </w:p>
    <w:p>
      <w:pPr>
        <w:widowControl w:val="false"/>
        <w:numPr>
          <w:ilvl w:val="0"/>
          <w:numId w:val="23"/>
        </w:numPr>
        <w:spacing w:before="0" w:after="0" w:line="289"/>
        <w:ind w:right="40" w:left="40" w:firstLine="62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Сведения о БО и Сведения о ДО формируются в форме электронного документа в информационной системе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лица, имеющего право действовать от имени получателя средств бюджета.</w:t>
      </w:r>
    </w:p>
    <w:p>
      <w:pPr>
        <w:widowControl w:val="false"/>
        <w:numPr>
          <w:ilvl w:val="0"/>
          <w:numId w:val="23"/>
        </w:numPr>
        <w:spacing w:before="0" w:after="287" w:line="289"/>
        <w:ind w:right="40" w:left="40" w:firstLine="62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При формировании Сведений о БО и Сведений о ДО применяются справочники, реестры и классификаторы, используемые в информационной системе, в соответствии с Порядком.</w:t>
      </w:r>
    </w:p>
    <w:p>
      <w:pPr>
        <w:widowControl w:val="false"/>
        <w:numPr>
          <w:ilvl w:val="0"/>
          <w:numId w:val="26"/>
        </w:numPr>
        <w:tabs>
          <w:tab w:val="left" w:pos="1559" w:leader="none"/>
        </w:tabs>
        <w:spacing w:before="0" w:after="259" w:line="230"/>
        <w:ind w:right="0" w:left="1180" w:firstLine="0"/>
        <w:jc w:val="both"/>
        <w:rPr>
          <w:rFonts w:ascii="Courier New" w:hAnsi="Courier New" w:cs="Courier New" w:eastAsia="Courier New"/>
          <w:b/>
          <w:color w:val="auto"/>
          <w:spacing w:val="0"/>
          <w:position w:val="0"/>
          <w:sz w:val="28"/>
          <w:shd w:fill="auto" w:val="clear"/>
        </w:rPr>
      </w:pPr>
      <w:r>
        <w:rPr>
          <w:rFonts w:ascii="Courier New" w:hAnsi="Courier New" w:cs="Courier New" w:eastAsia="Courier New"/>
          <w:b/>
          <w:color w:val="000000"/>
          <w:spacing w:val="0"/>
          <w:position w:val="0"/>
          <w:sz w:val="28"/>
          <w:shd w:fill="auto" w:val="clear"/>
        </w:rPr>
        <w:t xml:space="preserve">Порядок учета бюджетных обязательств получателей средств бюджета</w:t>
      </w:r>
    </w:p>
    <w:p>
      <w:pPr>
        <w:widowControl w:val="false"/>
        <w:numPr>
          <w:ilvl w:val="0"/>
          <w:numId w:val="27"/>
        </w:numPr>
        <w:spacing w:before="0" w:after="0" w:line="289"/>
        <w:ind w:right="40" w:left="0" w:firstLine="491"/>
        <w:jc w:val="left"/>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БО,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бюджета, согласно приложению № 3 к Порядку (далее соответственно - документы-основания, Перечень).</w:t>
      </w:r>
    </w:p>
    <w:p>
      <w:pPr>
        <w:widowControl w:val="false"/>
        <w:tabs>
          <w:tab w:val="left" w:pos="1134" w:leader="none"/>
        </w:tabs>
        <w:spacing w:before="0" w:after="0" w:line="289"/>
        <w:ind w:right="40" w:left="0" w:firstLine="567"/>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2. Сведения о БО, возникшем на основании документа-основания, предусмотренного пунктом 2,3 графы 2 Перечня, направляются в орган Федерального казначейства с приложением копии муниципального контракта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w:t>
      </w:r>
    </w:p>
    <w:p>
      <w:pPr>
        <w:widowControl w:val="false"/>
        <w:tabs>
          <w:tab w:val="left" w:pos="567" w:leader="none"/>
          <w:tab w:val="left" w:pos="1134" w:leader="none"/>
        </w:tabs>
        <w:spacing w:before="0" w:after="0" w:line="289"/>
        <w:ind w:right="40" w:left="0" w:firstLine="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3..    Для внесения изменений в поставленное на учет бюджетное обязательство формируются Сведения о БО с указанием учетного номера бюджетного обязательства, в которое вносится изменение.</w:t>
      </w:r>
    </w:p>
    <w:p>
      <w:pPr>
        <w:widowControl w:val="false"/>
        <w:tabs>
          <w:tab w:val="left" w:pos="567" w:leader="none"/>
          <w:tab w:val="left" w:pos="1134" w:leader="none"/>
        </w:tabs>
        <w:spacing w:before="0" w:after="0" w:line="289"/>
        <w:ind w:right="40" w:left="0" w:firstLine="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4.   В случае внесения изменений в бюджетное обязательство без внесения изменений в документ-основание, документ-основание в орган Федерального казначейства повторно не предоставляется.</w:t>
      </w:r>
    </w:p>
    <w:p>
      <w:pPr>
        <w:widowControl w:val="false"/>
        <w:tabs>
          <w:tab w:val="left" w:pos="567" w:leader="none"/>
          <w:tab w:val="left" w:pos="1134" w:leader="none"/>
        </w:tabs>
        <w:spacing w:before="0" w:after="0" w:line="289"/>
        <w:ind w:right="40" w:left="0" w:firstLine="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5.  Постановка на учет бюджетных обязательств (внесение изменений в поставленные на учет бюджетные обязательства) осуществляется УФК </w:t>
      </w:r>
      <w:r>
        <w:rPr>
          <w:rFonts w:ascii="Courier New" w:hAnsi="Courier New" w:cs="Courier New" w:eastAsia="Courier New"/>
          <w:b/>
          <w:color w:val="000000"/>
          <w:spacing w:val="0"/>
          <w:position w:val="0"/>
          <w:sz w:val="28"/>
          <w:shd w:fill="auto" w:val="clear"/>
        </w:rPr>
        <w:t xml:space="preserve">в течение двух рабочих дней </w:t>
      </w:r>
      <w:r>
        <w:rPr>
          <w:rFonts w:ascii="Courier New" w:hAnsi="Courier New" w:cs="Courier New" w:eastAsia="Courier New"/>
          <w:color w:val="000000"/>
          <w:spacing w:val="0"/>
          <w:position w:val="0"/>
          <w:sz w:val="28"/>
          <w:shd w:fill="auto" w:val="clear"/>
        </w:rPr>
        <w:t xml:space="preserve">после проверки Сведений о БО на:</w:t>
      </w:r>
    </w:p>
    <w:p>
      <w:pPr>
        <w:widowControl w:val="false"/>
        <w:numPr>
          <w:ilvl w:val="0"/>
          <w:numId w:val="30"/>
        </w:numPr>
        <w:spacing w:before="0" w:after="0" w:line="289"/>
        <w:ind w:right="20" w:left="20" w:firstLine="40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соответствие информации о бюджетном обязательстве, указанной в Сведениях о БО (номер документа-основания, дата документа-основания, предмет по документу-основанию, сумма по документу-основанию, номер и дата уведомления о поступлении ИД/РНО, наименование контрагента, ИНН контрагента, расчетный счет контрагента), документам- основаниям, подлежащим представлению получателем средств бюджета для постановки на учет бюджетного обязательства (а также дополнительно сведениям о муниципальном контракте в реестре контрактов по п.2 графы 2 Перечня);</w:t>
      </w:r>
    </w:p>
    <w:p>
      <w:pPr>
        <w:widowControl w:val="false"/>
        <w:numPr>
          <w:ilvl w:val="0"/>
          <w:numId w:val="30"/>
        </w:numPr>
        <w:spacing w:before="0" w:after="0" w:line="289"/>
        <w:ind w:right="20" w:left="20" w:firstLine="40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непревышение суммы бюджетного обязательства по соответствующим кодам классификации расходов бюджета над суммой неиспользованных лимитов бюджетных обязательств, отраженных на лицевом счете получателя бюджетных средств;</w:t>
      </w:r>
    </w:p>
    <w:p>
      <w:pPr>
        <w:widowControl w:val="false"/>
        <w:numPr>
          <w:ilvl w:val="0"/>
          <w:numId w:val="30"/>
        </w:numPr>
        <w:spacing w:before="0" w:after="0" w:line="289"/>
        <w:ind w:right="20" w:left="20" w:firstLine="40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соответствие предмета бюджетного обязательства, указанного в Сведениях о БО, коду вида (кодам видов) расходов классификации расходов бюджета, указанному в Сведениях о БО.</w:t>
      </w:r>
    </w:p>
    <w:p>
      <w:pPr>
        <w:widowControl w:val="false"/>
        <w:tabs>
          <w:tab w:val="left" w:pos="567" w:leader="none"/>
          <w:tab w:val="left" w:pos="1134" w:leader="none"/>
        </w:tabs>
        <w:spacing w:before="0" w:after="0" w:line="289"/>
        <w:ind w:right="20" w:left="0" w:firstLine="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6.  В случае положительного результата проверки Сведений о БО на соответствие требованиям, предусмотренным пунктом 9 Порядка, УФК присваивает учетный номер бюджетному обязательству (вносит изменения в ранее поставленное на учет бюджетное обязательство) и направляет получателю средств бюджета извещение о постановке на учет (изменении) бюджетного обязательства.</w:t>
      </w:r>
    </w:p>
    <w:p>
      <w:pPr>
        <w:widowControl w:val="false"/>
        <w:numPr>
          <w:ilvl w:val="0"/>
          <w:numId w:val="32"/>
        </w:numPr>
        <w:spacing w:before="0" w:after="0" w:line="289"/>
        <w:ind w:right="20" w:left="20" w:firstLine="7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Извещение о бюджетном обязательстве направляется получателю средств бюджета в форме электронного документа, подписанного электронной подписью уполномоченного лица УФК.</w:t>
      </w:r>
    </w:p>
    <w:p>
      <w:pPr>
        <w:widowControl w:val="false"/>
        <w:numPr>
          <w:ilvl w:val="0"/>
          <w:numId w:val="32"/>
        </w:numPr>
        <w:spacing w:before="0" w:after="0" w:line="289"/>
        <w:ind w:right="20" w:left="20" w:firstLine="7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Одно поставленное на учет бюджетное обязательство может содержать несколько кодов классификации расходов бюджета.</w:t>
      </w:r>
    </w:p>
    <w:p>
      <w:pPr>
        <w:widowControl w:val="false"/>
        <w:numPr>
          <w:ilvl w:val="0"/>
          <w:numId w:val="32"/>
        </w:numPr>
        <w:spacing w:before="0" w:after="0" w:line="289"/>
        <w:ind w:right="20" w:left="20" w:firstLine="7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В случае отрицательного результата проверки Сведений о БО УФК направляет получателю средств бюджета Протокол в электронном виде с указанием причины, по которой не осуществляется постановка на учет бюджетного обязательства.</w:t>
      </w:r>
    </w:p>
    <w:p>
      <w:pPr>
        <w:widowControl w:val="false"/>
        <w:numPr>
          <w:ilvl w:val="0"/>
          <w:numId w:val="32"/>
        </w:numPr>
        <w:spacing w:before="0" w:after="0" w:line="289"/>
        <w:ind w:right="20" w:left="20" w:firstLine="7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На сумму неисполненного на конец отчетного финансового года бюджетного обязательства в текущем финансовом году в бюджетное обязательство вносятся изменения в соответствии с пунктом 7 Порядка в части графика оплаты бюджетного обязательства, а также в части кодов бюджетной классификации Российской Федерации (при необходимости).</w:t>
      </w:r>
    </w:p>
    <w:p>
      <w:pPr>
        <w:widowControl w:val="false"/>
        <w:numPr>
          <w:ilvl w:val="0"/>
          <w:numId w:val="32"/>
        </w:numPr>
        <w:spacing w:before="0" w:after="0" w:line="289"/>
        <w:ind w:right="20" w:left="20" w:firstLine="8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В случае, если коды бюджетной классификации Российской Федерации,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бюджетном обязательстве указываются соответствующие им коды бюджетной классификации Российской Федерации, установленные на текущий финансовый год.</w:t>
      </w:r>
    </w:p>
    <w:p>
      <w:pPr>
        <w:widowControl w:val="false"/>
        <w:numPr>
          <w:ilvl w:val="0"/>
          <w:numId w:val="32"/>
        </w:numPr>
        <w:spacing w:before="0" w:after="0" w:line="289"/>
        <w:ind w:right="20" w:left="20" w:firstLine="8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pPr>
        <w:widowControl w:val="false"/>
        <w:numPr>
          <w:ilvl w:val="0"/>
          <w:numId w:val="32"/>
        </w:numPr>
        <w:spacing w:before="0" w:after="0" w:line="289"/>
        <w:ind w:right="20" w:left="20" w:firstLine="8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Учет бюджетных обязательств по кредиторской задолженности по муниципальным контрактам (договорам) на поставку товаров, выполнение работ, оказание услуг, сложившейся за прошлые годы и возникшей до передачи полномочий по осуществлению учета бюджетных обязательств органом Федерального казначейства, осуществляется на сумму неоплаченной задолженности на основании акта сверки с поставщиками товаров, работ, услуг.</w:t>
      </w:r>
    </w:p>
    <w:p>
      <w:pPr>
        <w:widowControl w:val="false"/>
        <w:numPr>
          <w:ilvl w:val="0"/>
          <w:numId w:val="32"/>
        </w:numPr>
        <w:spacing w:before="0" w:after="0" w:line="293"/>
        <w:ind w:right="20" w:left="20" w:firstLine="92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Аннулирование ошибочно представленных Сведений о бюджетном обязательстве осуществляется в исключительных случаях на основании представления в качестве подтверждающего документа - письма с изложением проблемы и просьбой об уточнении, согласованного с финансовым органом.</w:t>
      </w:r>
    </w:p>
    <w:p>
      <w:pPr>
        <w:widowControl w:val="false"/>
        <w:numPr>
          <w:ilvl w:val="0"/>
          <w:numId w:val="32"/>
        </w:numPr>
        <w:spacing w:before="0" w:after="229" w:line="289"/>
        <w:ind w:right="20" w:left="20" w:firstLine="92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Неисполненная часть бюджетного обязательства на конец текущего финансового года подлежит автоматической перерегистрации и учету в очередном финансовом году.</w:t>
      </w:r>
    </w:p>
    <w:p>
      <w:pPr>
        <w:widowControl w:val="false"/>
        <w:tabs>
          <w:tab w:val="left" w:pos="1768" w:leader="none"/>
        </w:tabs>
        <w:spacing w:before="0" w:after="251" w:line="302"/>
        <w:ind w:right="580" w:left="2480" w:hanging="1200"/>
        <w:jc w:val="center"/>
        <w:rPr>
          <w:rFonts w:ascii="Courier New" w:hAnsi="Courier New" w:cs="Courier New" w:eastAsia="Courier New"/>
          <w:b/>
          <w:color w:val="auto"/>
          <w:spacing w:val="0"/>
          <w:position w:val="0"/>
          <w:sz w:val="28"/>
          <w:shd w:fill="auto" w:val="clear"/>
        </w:rPr>
      </w:pPr>
      <w:r>
        <w:rPr>
          <w:rFonts w:ascii="Times New Roman" w:hAnsi="Times New Roman" w:cs="Times New Roman" w:eastAsia="Times New Roman"/>
          <w:b/>
          <w:color w:val="000000"/>
          <w:spacing w:val="0"/>
          <w:position w:val="0"/>
          <w:sz w:val="23"/>
          <w:shd w:fill="auto" w:val="clear"/>
        </w:rPr>
        <w:t xml:space="preserve">III.</w:t>
        <w:tab/>
      </w:r>
      <w:r>
        <w:rPr>
          <w:rFonts w:ascii="Courier New" w:hAnsi="Courier New" w:cs="Courier New" w:eastAsia="Courier New"/>
          <w:b/>
          <w:color w:val="000000"/>
          <w:spacing w:val="0"/>
          <w:position w:val="0"/>
          <w:sz w:val="28"/>
          <w:shd w:fill="auto" w:val="clear"/>
        </w:rPr>
        <w:t xml:space="preserve">Особенности учета бюджетных обязательств по исполнительным документам, решениям налоговых органов</w:t>
      </w:r>
    </w:p>
    <w:p>
      <w:pPr>
        <w:widowControl w:val="false"/>
        <w:numPr>
          <w:ilvl w:val="0"/>
          <w:numId w:val="37"/>
        </w:numPr>
        <w:tabs>
          <w:tab w:val="left" w:pos="1134" w:leader="none"/>
        </w:tabs>
        <w:spacing w:before="0" w:after="0" w:line="289"/>
        <w:ind w:right="20" w:left="0" w:firstLine="567"/>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Сведения о бюджетном обязательстве, возникшем в соответствии с исполнительными</w:t>
      </w:r>
      <w:r>
        <w:rPr>
          <w:rFonts w:ascii="Courier New" w:hAnsi="Courier New" w:cs="Courier New" w:eastAsia="Courier New"/>
          <w:color w:val="000000"/>
          <w:spacing w:val="0"/>
          <w:position w:val="0"/>
          <w:sz w:val="23"/>
          <w:shd w:fill="auto" w:val="clear"/>
        </w:rPr>
        <w:t xml:space="preserve"> </w:t>
      </w:r>
      <w:r>
        <w:rPr>
          <w:rFonts w:ascii="Courier New" w:hAnsi="Courier New" w:cs="Courier New" w:eastAsia="Courier New"/>
          <w:color w:val="000000"/>
          <w:spacing w:val="0"/>
          <w:position w:val="0"/>
          <w:sz w:val="28"/>
          <w:shd w:fill="auto" w:val="clear"/>
        </w:rPr>
        <w:t xml:space="preserve">документами, решениями налоговых органов, формируются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w:t>
      </w:r>
    </w:p>
    <w:p>
      <w:pPr>
        <w:widowControl w:val="false"/>
        <w:numPr>
          <w:ilvl w:val="0"/>
          <w:numId w:val="37"/>
        </w:numPr>
        <w:tabs>
          <w:tab w:val="left" w:pos="1134" w:leader="none"/>
        </w:tabs>
        <w:spacing w:before="0" w:after="0" w:line="289"/>
        <w:ind w:right="20" w:left="0" w:firstLine="80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В случае если в органе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pPr>
        <w:widowControl w:val="false"/>
        <w:numPr>
          <w:ilvl w:val="0"/>
          <w:numId w:val="37"/>
        </w:numPr>
        <w:tabs>
          <w:tab w:val="left" w:pos="1134" w:leader="none"/>
        </w:tabs>
        <w:spacing w:before="0" w:after="0" w:line="289"/>
        <w:ind w:right="20" w:left="0" w:firstLine="80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средств бюджета.</w:t>
      </w:r>
    </w:p>
    <w:p>
      <w:pPr>
        <w:widowControl w:val="false"/>
        <w:numPr>
          <w:ilvl w:val="0"/>
          <w:numId w:val="37"/>
        </w:numPr>
        <w:spacing w:before="0" w:after="587" w:line="289"/>
        <w:ind w:right="20" w:left="0" w:firstLine="80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В случае ликвидации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
    <w:p>
      <w:pPr>
        <w:widowControl w:val="false"/>
        <w:tabs>
          <w:tab w:val="left" w:pos="2402" w:leader="none"/>
        </w:tabs>
        <w:spacing w:before="0" w:after="6" w:line="230"/>
        <w:ind w:right="0" w:left="1580" w:firstLine="0"/>
        <w:jc w:val="center"/>
        <w:rPr>
          <w:rFonts w:ascii="Courier New" w:hAnsi="Courier New" w:cs="Courier New" w:eastAsia="Courier New"/>
          <w:b/>
          <w:color w:val="auto"/>
          <w:spacing w:val="0"/>
          <w:position w:val="0"/>
          <w:sz w:val="28"/>
          <w:shd w:fill="auto" w:val="clear"/>
        </w:rPr>
      </w:pPr>
      <w:r>
        <w:rPr>
          <w:rFonts w:ascii="Times New Roman" w:hAnsi="Times New Roman" w:cs="Times New Roman" w:eastAsia="Times New Roman"/>
          <w:b/>
          <w:color w:val="000000"/>
          <w:spacing w:val="0"/>
          <w:position w:val="0"/>
          <w:sz w:val="23"/>
          <w:shd w:fill="auto" w:val="clear"/>
        </w:rPr>
        <w:t xml:space="preserve">IV.</w:t>
        <w:tab/>
      </w:r>
      <w:r>
        <w:rPr>
          <w:rFonts w:ascii="Courier New" w:hAnsi="Courier New" w:cs="Courier New" w:eastAsia="Courier New"/>
          <w:b/>
          <w:color w:val="000000"/>
          <w:spacing w:val="0"/>
          <w:position w:val="0"/>
          <w:sz w:val="28"/>
          <w:shd w:fill="auto" w:val="clear"/>
        </w:rPr>
        <w:t xml:space="preserve">Постановка на учет денежных обязательств и внесение в них изменений</w:t>
      </w:r>
    </w:p>
    <w:p>
      <w:pPr>
        <w:widowControl w:val="false"/>
        <w:numPr>
          <w:ilvl w:val="0"/>
          <w:numId w:val="41"/>
        </w:numPr>
        <w:tabs>
          <w:tab w:val="left" w:pos="1134" w:leader="none"/>
        </w:tabs>
        <w:spacing w:before="0" w:after="0" w:line="289"/>
        <w:ind w:right="20" w:left="0" w:firstLine="567"/>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(далее - Сведения о ДО), сформированными на основании документов, предусмотренных в графе 3 Перечня, на сумму, указанную в документе, в соответствии с которым возникло денежное обязательство.</w:t>
      </w:r>
    </w:p>
    <w:p>
      <w:pPr>
        <w:widowControl w:val="false"/>
        <w:numPr>
          <w:ilvl w:val="0"/>
          <w:numId w:val="41"/>
        </w:numPr>
        <w:tabs>
          <w:tab w:val="left" w:pos="1134" w:leader="none"/>
        </w:tabs>
        <w:spacing w:before="0" w:after="0" w:line="289"/>
        <w:ind w:right="0" w:left="1520" w:hanging="953"/>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Сведения о ДО формируются:</w:t>
      </w:r>
    </w:p>
    <w:p>
      <w:pPr>
        <w:widowControl w:val="false"/>
        <w:numPr>
          <w:ilvl w:val="0"/>
          <w:numId w:val="43"/>
        </w:numPr>
        <w:spacing w:before="0" w:after="0" w:line="289"/>
        <w:ind w:right="0" w:left="20" w:firstLine="4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получателем средств бюджета в случае:</w:t>
      </w:r>
    </w:p>
    <w:p>
      <w:pPr>
        <w:widowControl w:val="false"/>
        <w:spacing w:before="0" w:after="0" w:line="289"/>
        <w:ind w:right="0" w:left="20" w:firstLine="4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исполнения денежного обязательства в части авансовых платежей;</w:t>
      </w:r>
    </w:p>
    <w:p>
      <w:pPr>
        <w:widowControl w:val="false"/>
        <w:spacing w:before="0" w:after="0" w:line="289"/>
        <w:ind w:right="20" w:left="20" w:firstLine="4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подтверждения поставки товаров, выполнения работ, оказания услуг по ранее произведенным авансовым платежам в соответствии с условиями государственного контракта (договора);</w:t>
      </w:r>
    </w:p>
    <w:p>
      <w:pPr>
        <w:widowControl w:val="false"/>
        <w:numPr>
          <w:ilvl w:val="0"/>
          <w:numId w:val="46"/>
        </w:numPr>
        <w:spacing w:before="0" w:after="0" w:line="289"/>
        <w:ind w:right="20" w:left="20" w:firstLine="4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УФК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в УФК платежных документах для оплаты соответствующих денежных обязательств, не позднее следующего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 оплаты денежных обязательств получателей средств бюджета, утвержденный финансовым органом муниципального образования (далее - Порядок санкционирования).</w:t>
      </w:r>
    </w:p>
    <w:p>
      <w:pPr>
        <w:widowControl w:val="false"/>
        <w:tabs>
          <w:tab w:val="left" w:pos="1134" w:leader="none"/>
        </w:tabs>
        <w:spacing w:before="0" w:after="0" w:line="289"/>
        <w:ind w:right="20" w:left="0" w:firstLine="567"/>
        <w:jc w:val="both"/>
        <w:rPr>
          <w:rFonts w:ascii="Courier New" w:hAnsi="Courier New" w:cs="Courier New" w:eastAsia="Courier New"/>
          <w:color w:val="auto"/>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3.</w:t>
        <w:tab/>
      </w:r>
      <w:r>
        <w:rPr>
          <w:rFonts w:ascii="Courier New" w:hAnsi="Courier New" w:cs="Courier New" w:eastAsia="Courier New"/>
          <w:color w:val="000000"/>
          <w:spacing w:val="0"/>
          <w:position w:val="0"/>
          <w:sz w:val="28"/>
          <w:shd w:fill="auto" w:val="clear"/>
        </w:rPr>
        <w:t xml:space="preserve"> УФК не позднее следующего рабочего дня со дня представления получателем средств бюджета Сведений о ДО осуществляет их проверку на:</w:t>
      </w:r>
    </w:p>
    <w:p>
      <w:pPr>
        <w:widowControl w:val="false"/>
        <w:numPr>
          <w:ilvl w:val="0"/>
          <w:numId w:val="48"/>
        </w:numPr>
        <w:spacing w:before="0" w:after="0" w:line="289"/>
        <w:ind w:right="20" w:left="20" w:firstLine="4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соответствие информации о денежном обязательстве, указанной в Сведениях о ДО, информации о поставленном на учет соответствующем бюджетном обязательстве;</w:t>
      </w:r>
    </w:p>
    <w:p>
      <w:pPr>
        <w:widowControl w:val="false"/>
        <w:numPr>
          <w:ilvl w:val="0"/>
          <w:numId w:val="48"/>
        </w:numPr>
        <w:spacing w:before="0" w:after="0" w:line="289"/>
        <w:ind w:right="20" w:left="20" w:firstLine="44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 соответствие информации о денежном обязательстве (вид, номер, дата, сумма, предмет) данным документа, подтверждающего возникновение денежного обязательства.</w:t>
      </w:r>
    </w:p>
    <w:p>
      <w:pPr>
        <w:widowControl w:val="false"/>
        <w:spacing w:before="0" w:after="0" w:line="289"/>
        <w:ind w:right="20" w:left="20" w:firstLine="680"/>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000000"/>
          <w:spacing w:val="0"/>
          <w:position w:val="0"/>
          <w:sz w:val="28"/>
          <w:shd w:fill="auto" w:val="clear"/>
        </w:rPr>
        <w:t xml:space="preserve">По документам-основаниям, представление которых в орган Федерального казначейства в соответствии с Порядком санкционирования не требуется, проверка не осуществляется.</w:t>
      </w:r>
    </w:p>
    <w:p>
      <w:pPr>
        <w:widowControl w:val="false"/>
        <w:tabs>
          <w:tab w:val="left" w:pos="1134" w:leader="none"/>
        </w:tabs>
        <w:spacing w:before="0" w:after="0" w:line="289"/>
        <w:ind w:right="20" w:left="0" w:firstLine="567"/>
        <w:jc w:val="both"/>
        <w:rPr>
          <w:rFonts w:ascii="Courier New" w:hAnsi="Courier New" w:cs="Courier New" w:eastAsia="Courier New"/>
          <w:color w:val="auto"/>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4.</w:t>
        <w:tab/>
      </w:r>
      <w:r>
        <w:rPr>
          <w:rFonts w:ascii="Courier New" w:hAnsi="Courier New" w:cs="Courier New" w:eastAsia="Courier New"/>
          <w:color w:val="000000"/>
          <w:spacing w:val="0"/>
          <w:position w:val="0"/>
          <w:sz w:val="28"/>
          <w:shd w:fill="auto" w:val="clear"/>
        </w:rPr>
        <w:t xml:space="preserve"> В случае положительного результата проверки Сведений о ДО УФК присваивает учетный номер денежному обязательству (либо вносит изменения в ранее поставленное на учет денежное обязательство) и направляет получателю средств бюджета извещение о постановке на учет (изменении) денежного обязательства.</w:t>
      </w:r>
    </w:p>
    <w:p>
      <w:pPr>
        <w:widowControl w:val="false"/>
        <w:tabs>
          <w:tab w:val="left" w:pos="1134" w:leader="none"/>
        </w:tabs>
        <w:spacing w:before="0" w:after="0" w:line="289"/>
        <w:ind w:right="20" w:left="0" w:firstLine="567"/>
        <w:jc w:val="both"/>
        <w:rPr>
          <w:rFonts w:ascii="Courier New" w:hAnsi="Courier New" w:cs="Courier New" w:eastAsia="Courier New"/>
          <w:color w:val="auto"/>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5.</w:t>
        <w:tab/>
      </w:r>
      <w:r>
        <w:rPr>
          <w:rFonts w:ascii="Courier New" w:hAnsi="Courier New" w:cs="Courier New" w:eastAsia="Courier New"/>
          <w:color w:val="000000"/>
          <w:spacing w:val="0"/>
          <w:position w:val="0"/>
          <w:sz w:val="28"/>
          <w:shd w:fill="auto" w:val="clear"/>
        </w:rPr>
        <w:t xml:space="preserve">В случае отрицательного результата проверки Сведений о денежном обязательстве УФК направляет получателю средств бюджета Протокол с указанием причины, по которой не осуществляется постановка на учет денежного обязательства;</w:t>
      </w:r>
    </w:p>
    <w:p>
      <w:pPr>
        <w:widowControl w:val="false"/>
        <w:tabs>
          <w:tab w:val="left" w:pos="1134" w:leader="none"/>
        </w:tabs>
        <w:spacing w:before="0" w:after="0" w:line="289"/>
        <w:ind w:right="20" w:left="0" w:firstLine="567"/>
        <w:jc w:val="both"/>
        <w:rPr>
          <w:rFonts w:ascii="Courier New" w:hAnsi="Courier New" w:cs="Courier New" w:eastAsia="Courier New"/>
          <w:color w:val="auto"/>
          <w:spacing w:val="0"/>
          <w:position w:val="0"/>
          <w:sz w:val="28"/>
          <w:shd w:fill="auto" w:val="clear"/>
        </w:rPr>
      </w:pPr>
      <w:r>
        <w:rPr>
          <w:rFonts w:ascii="Courier New" w:hAnsi="Courier New" w:cs="Courier New" w:eastAsia="Courier New"/>
          <w:color w:val="auto"/>
          <w:spacing w:val="0"/>
          <w:position w:val="0"/>
          <w:sz w:val="28"/>
          <w:shd w:fill="auto" w:val="clear"/>
        </w:rPr>
        <w:t xml:space="preserve">в отношении Сведений о бюджетных обязательствах, возникших на основании документов-оснований предусмотренных Перечнем, УФК принимает на учет такое бюджетное обязательство и не позднее рабочего дня, следующего за днем постановки на учет бюджетного обязательства, доводит информацию до получателя средств бюджета и распорядителя (главного распорядителя) средств бюджета, в ведении которого находится получатель средств бюджета, путем направления Уведомления о превышении бюджетным обязательством неиспользованных доведенных бюджетных данных.</w:t>
      </w:r>
    </w:p>
    <w:p>
      <w:pPr>
        <w:widowControl w:val="false"/>
        <w:tabs>
          <w:tab w:val="left" w:pos="1134" w:leader="none"/>
        </w:tabs>
        <w:spacing w:before="0" w:after="229" w:line="289"/>
        <w:ind w:right="20" w:left="0" w:firstLine="567"/>
        <w:jc w:val="both"/>
        <w:rPr>
          <w:rFonts w:ascii="Courier New" w:hAnsi="Courier New" w:cs="Courier New" w:eastAsia="Courier New"/>
          <w:color w:val="auto"/>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6.</w:t>
        <w:tab/>
      </w:r>
      <w:r>
        <w:rPr>
          <w:rFonts w:ascii="Courier New" w:hAnsi="Courier New" w:cs="Courier New" w:eastAsia="Courier New"/>
          <w:color w:val="000000"/>
          <w:spacing w:val="0"/>
          <w:position w:val="0"/>
          <w:sz w:val="28"/>
          <w:shd w:fill="auto" w:val="clear"/>
        </w:rP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подлежит учету в текущем финансовом году на основании Сведений о ДО, сформированных УФК.</w:t>
      </w:r>
    </w:p>
    <w:p>
      <w:pPr>
        <w:widowControl w:val="false"/>
        <w:tabs>
          <w:tab w:val="left" w:pos="2779" w:leader="none"/>
        </w:tabs>
        <w:spacing w:before="0" w:after="0" w:line="302"/>
        <w:ind w:right="260" w:left="1240" w:firstLine="860"/>
        <w:jc w:val="left"/>
        <w:rPr>
          <w:rFonts w:ascii="Courier New" w:hAnsi="Courier New" w:cs="Courier New" w:eastAsia="Courier New"/>
          <w:b/>
          <w:color w:val="auto"/>
          <w:spacing w:val="0"/>
          <w:position w:val="0"/>
          <w:sz w:val="28"/>
          <w:shd w:fill="auto" w:val="clear"/>
        </w:rPr>
      </w:pPr>
      <w:r>
        <w:rPr>
          <w:rFonts w:ascii="Times New Roman" w:hAnsi="Times New Roman" w:cs="Times New Roman" w:eastAsia="Times New Roman"/>
          <w:b/>
          <w:color w:val="000000"/>
          <w:spacing w:val="0"/>
          <w:position w:val="0"/>
          <w:sz w:val="23"/>
          <w:shd w:fill="auto" w:val="clear"/>
        </w:rPr>
        <w:t xml:space="preserve">V.</w:t>
        <w:tab/>
      </w:r>
      <w:r>
        <w:rPr>
          <w:rFonts w:ascii="Courier New" w:hAnsi="Courier New" w:cs="Courier New" w:eastAsia="Courier New"/>
          <w:b/>
          <w:color w:val="000000"/>
          <w:spacing w:val="0"/>
          <w:position w:val="0"/>
          <w:sz w:val="28"/>
          <w:shd w:fill="auto" w:val="clear"/>
        </w:rPr>
        <w:t xml:space="preserve">Представление информации о бюджетных и денежных обязательствах, учтенных в Управлении Федерального казначейства по Иркутской области</w:t>
      </w:r>
    </w:p>
    <w:p>
      <w:pPr>
        <w:widowControl w:val="false"/>
        <w:spacing w:before="0" w:after="298" w:line="302"/>
        <w:ind w:right="0" w:left="4420" w:firstLine="0"/>
        <w:jc w:val="center"/>
        <w:rPr>
          <w:rFonts w:ascii="Courier New" w:hAnsi="Courier New" w:cs="Courier New" w:eastAsia="Courier New"/>
          <w:b/>
          <w:color w:val="auto"/>
          <w:spacing w:val="0"/>
          <w:position w:val="0"/>
          <w:sz w:val="28"/>
          <w:shd w:fill="auto" w:val="clear"/>
        </w:rPr>
      </w:pPr>
    </w:p>
    <w:p>
      <w:pPr>
        <w:widowControl w:val="false"/>
        <w:tabs>
          <w:tab w:val="left" w:pos="1134" w:leader="none"/>
        </w:tabs>
        <w:spacing w:before="0" w:after="0" w:line="230"/>
        <w:ind w:right="0" w:left="0" w:firstLine="567"/>
        <w:jc w:val="both"/>
        <w:rPr>
          <w:rFonts w:ascii="Courier New" w:hAnsi="Courier New" w:cs="Courier New" w:eastAsia="Courier New"/>
          <w:color w:val="auto"/>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7.</w:t>
        <w:tab/>
      </w:r>
      <w:r>
        <w:rPr>
          <w:rFonts w:ascii="Courier New" w:hAnsi="Courier New" w:cs="Courier New" w:eastAsia="Courier New"/>
          <w:color w:val="000000"/>
          <w:spacing w:val="0"/>
          <w:position w:val="0"/>
          <w:sz w:val="28"/>
          <w:shd w:fill="auto" w:val="clear"/>
        </w:rPr>
        <w:t xml:space="preserve">Информация о бюджетных и денежных обязательствах предоставляется по запросу: финансового органа, главных распорядителей средств и получателей средств бюджета муниципального образования «Аляты».</w:t>
      </w:r>
    </w:p>
    <w:p>
      <w:pPr>
        <w:widowControl w:val="false"/>
        <w:spacing w:before="0" w:after="0" w:line="240"/>
        <w:ind w:right="0" w:left="0" w:firstLine="0"/>
        <w:jc w:val="left"/>
        <w:rPr>
          <w:rFonts w:ascii="Courier New" w:hAnsi="Courier New" w:cs="Courier New" w:eastAsia="Courier New"/>
          <w:color w:val="auto"/>
          <w:spacing w:val="0"/>
          <w:position w:val="0"/>
          <w:sz w:val="28"/>
          <w:shd w:fill="auto" w:val="clear"/>
        </w:rPr>
      </w:pPr>
    </w:p>
    <w:p>
      <w:pPr>
        <w:widowControl w:val="false"/>
        <w:spacing w:before="0" w:after="0" w:line="240"/>
        <w:ind w:right="0" w:left="0" w:firstLine="0"/>
        <w:jc w:val="center"/>
        <w:rPr>
          <w:rFonts w:ascii="Courier New" w:hAnsi="Courier New" w:cs="Courier New" w:eastAsia="Courier New"/>
          <w:color w:val="auto"/>
          <w:spacing w:val="0"/>
          <w:position w:val="0"/>
          <w:sz w:val="2"/>
          <w:shd w:fill="auto" w:val="clear"/>
        </w:rPr>
      </w:pPr>
      <w:r>
        <w:rPr>
          <w:rFonts w:ascii="Calibri" w:hAnsi="Calibri" w:cs="Calibri" w:eastAsia="Calibri"/>
          <w:color w:val="auto"/>
          <w:spacing w:val="0"/>
          <w:position w:val="0"/>
          <w:sz w:val="22"/>
          <w:shd w:fill="auto" w:val="clear"/>
        </w:rPr>
        <w:t xml:space="preserve">￼</w:t>
      </w: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240"/>
        <w:ind w:right="0" w:left="0" w:firstLine="0"/>
        <w:jc w:val="center"/>
        <w:rPr>
          <w:rFonts w:ascii="Courier New" w:hAnsi="Courier New" w:cs="Courier New" w:eastAsia="Courier New"/>
          <w:color w:val="auto"/>
          <w:spacing w:val="0"/>
          <w:position w:val="0"/>
          <w:sz w:val="2"/>
          <w:shd w:fill="auto" w:val="clear"/>
        </w:rPr>
      </w:pPr>
      <w:r>
        <w:rPr>
          <w:rFonts w:ascii="Calibri" w:hAnsi="Calibri" w:cs="Calibri" w:eastAsia="Calibri"/>
          <w:color w:val="auto"/>
          <w:spacing w:val="0"/>
          <w:position w:val="0"/>
          <w:sz w:val="22"/>
          <w:shd w:fill="auto" w:val="clear"/>
        </w:rPr>
        <w:t xml:space="preserve">￼</w:t>
      </w: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3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460"/>
        <w:ind w:right="0" w:left="0" w:firstLine="0"/>
        <w:jc w:val="left"/>
        <w:rPr>
          <w:rFonts w:ascii="Courier New" w:hAnsi="Courier New" w:cs="Courier New" w:eastAsia="Courier New"/>
          <w:color w:val="auto"/>
          <w:spacing w:val="0"/>
          <w:position w:val="0"/>
          <w:sz w:val="24"/>
          <w:shd w:fill="auto" w:val="clear"/>
        </w:rPr>
      </w:pP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r>
        <w:rPr>
          <w:rFonts w:ascii="Calibri" w:hAnsi="Calibri" w:cs="Calibri" w:eastAsia="Calibri"/>
          <w:color w:val="auto"/>
          <w:spacing w:val="0"/>
          <w:position w:val="0"/>
          <w:sz w:val="22"/>
          <w:shd w:fill="auto" w:val="clear"/>
        </w:rPr>
        <w:t xml:space="preserve">￼</w:t>
      </w:r>
    </w:p>
    <w:p>
      <w:pPr>
        <w:widowControl w:val="false"/>
        <w:spacing w:before="0" w:after="0" w:line="100"/>
        <w:ind w:right="0" w:left="0" w:firstLine="0"/>
        <w:jc w:val="left"/>
        <w:rPr>
          <w:rFonts w:ascii="Courier New" w:hAnsi="Courier New" w:cs="Courier New" w:eastAsia="Courier New"/>
          <w:color w:val="auto"/>
          <w:spacing w:val="0"/>
          <w:position w:val="0"/>
          <w:sz w:val="10"/>
          <w:shd w:fill="auto" w:val="clear"/>
        </w:rPr>
      </w:pPr>
      <w:r>
        <w:rPr>
          <w:rFonts w:ascii="Courier New" w:hAnsi="Courier New" w:cs="Courier New" w:eastAsia="Courier New"/>
          <w:color w:val="000000"/>
          <w:spacing w:val="0"/>
          <w:position w:val="0"/>
          <w:sz w:val="10"/>
          <w:shd w:fill="auto" w:val="clear"/>
        </w:rPr>
        <w:t xml:space="preserve">Раздел 3. Расшифровка обязательства</w:t>
      </w: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153"/>
        <w:ind w:right="2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Приложение№2</w:t>
      </w:r>
    </w:p>
    <w:p>
      <w:pPr>
        <w:widowControl w:val="false"/>
        <w:spacing w:before="0" w:after="0" w:line="153"/>
        <w:ind w:right="2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к Порядку учета бюджетных и денежных обязательств получателей средств бюджета,</w:t>
      </w:r>
    </w:p>
    <w:p>
      <w:pPr>
        <w:widowControl w:val="false"/>
        <w:spacing w:before="0" w:after="0" w:line="176"/>
        <w:ind w:right="0" w:left="0" w:firstLine="0"/>
        <w:jc w:val="left"/>
        <w:rPr>
          <w:rFonts w:ascii="Courier New" w:hAnsi="Courier New" w:cs="Courier New" w:eastAsia="Courier New"/>
          <w:color w:val="auto"/>
          <w:spacing w:val="0"/>
          <w:position w:val="0"/>
          <w:sz w:val="14"/>
          <w:shd w:fill="auto" w:val="clear"/>
        </w:rPr>
      </w:pP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120"/>
        <w:ind w:right="0" w:left="0" w:firstLine="0"/>
        <w:jc w:val="left"/>
        <w:rPr>
          <w:rFonts w:ascii="Courier New" w:hAnsi="Courier New" w:cs="Courier New" w:eastAsia="Courier New"/>
          <w:b/>
          <w:color w:val="auto"/>
          <w:spacing w:val="0"/>
          <w:position w:val="0"/>
          <w:sz w:val="12"/>
          <w:shd w:fill="auto" w:val="clear"/>
        </w:rPr>
      </w:pPr>
      <w:r>
        <w:rPr>
          <w:rFonts w:ascii="Courier New" w:hAnsi="Courier New" w:cs="Courier New" w:eastAsia="Courier New"/>
          <w:b/>
          <w:color w:val="000000"/>
          <w:spacing w:val="0"/>
          <w:position w:val="0"/>
          <w:sz w:val="12"/>
          <w:shd w:fill="auto" w:val="clear"/>
        </w:rPr>
        <w:t xml:space="preserve">Сведения о денежном обязательстве № _</w:t>
      </w:r>
    </w:p>
    <w:p>
      <w:pPr>
        <w:widowControl w:val="false"/>
        <w:tabs>
          <w:tab w:val="right" w:pos="2097" w:leader="underscore"/>
          <w:tab w:val="right" w:pos="2377" w:leader="none"/>
        </w:tabs>
        <w:spacing w:before="0" w:after="0" w:line="130"/>
        <w:ind w:right="0" w:left="68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от« »</w:t>
        <w:tab/>
        <w:t xml:space="preserve">20</w:t>
        <w:tab/>
        <w:t xml:space="preserve">г.</w:t>
      </w:r>
    </w:p>
    <w:p>
      <w:pPr>
        <w:widowControl w:val="false"/>
        <w:spacing w:before="0" w:after="0" w:line="129"/>
        <w:ind w:right="0" w:left="0" w:firstLine="0"/>
        <w:jc w:val="left"/>
        <w:rPr>
          <w:rFonts w:ascii="Courier New" w:hAnsi="Courier New" w:cs="Courier New" w:eastAsia="Courier New"/>
          <w:color w:val="auto"/>
          <w:spacing w:val="0"/>
          <w:position w:val="0"/>
          <w:sz w:val="10"/>
          <w:shd w:fill="auto" w:val="clear"/>
        </w:rPr>
      </w:pP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130"/>
        <w:ind w:right="0" w:left="0" w:firstLine="0"/>
        <w:jc w:val="lef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Коды</w:t>
      </w:r>
    </w:p>
    <w:p>
      <w:pPr>
        <w:widowControl w:val="false"/>
        <w:spacing w:before="0" w:after="0" w:line="46"/>
        <w:ind w:right="0" w:left="0" w:firstLine="0"/>
        <w:jc w:val="left"/>
        <w:rPr>
          <w:rFonts w:ascii="Courier New" w:hAnsi="Courier New" w:cs="Courier New" w:eastAsia="Courier New"/>
          <w:color w:val="auto"/>
          <w:spacing w:val="0"/>
          <w:position w:val="0"/>
          <w:sz w:val="4"/>
          <w:shd w:fill="auto" w:val="clear"/>
        </w:rPr>
      </w:pP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130"/>
        <w:ind w:right="0" w:left="100" w:firstLine="0"/>
        <w:jc w:val="left"/>
        <w:rPr>
          <w:rFonts w:ascii="Courier New" w:hAnsi="Courier New" w:cs="Courier New" w:eastAsia="Courier New"/>
          <w:color w:val="auto"/>
          <w:spacing w:val="1"/>
          <w:position w:val="0"/>
          <w:sz w:val="13"/>
          <w:shd w:fill="auto" w:val="clear"/>
        </w:rPr>
      </w:pPr>
      <w:r>
        <w:rPr>
          <w:rFonts w:ascii="Courier New" w:hAnsi="Courier New" w:cs="Courier New" w:eastAsia="Courier New"/>
          <w:color w:val="000000"/>
          <w:spacing w:val="0"/>
          <w:position w:val="0"/>
          <w:sz w:val="13"/>
          <w:shd w:fill="auto" w:val="clear"/>
        </w:rPr>
        <w:t xml:space="preserve">0506102</w:t>
      </w:r>
    </w:p>
    <w:p>
      <w:pPr>
        <w:widowControl w:val="false"/>
        <w:spacing w:before="0" w:after="0" w:line="339"/>
        <w:ind w:right="20" w:left="0" w:firstLine="0"/>
        <w:jc w:val="right"/>
        <w:rPr>
          <w:rFonts w:ascii="Courier New" w:hAnsi="Courier New" w:cs="Courier New" w:eastAsia="Courier New"/>
          <w:b/>
          <w:color w:val="auto"/>
          <w:spacing w:val="0"/>
          <w:position w:val="0"/>
          <w:sz w:val="12"/>
          <w:shd w:fill="auto" w:val="clear"/>
        </w:rPr>
      </w:pPr>
      <w:r>
        <w:rPr>
          <w:rFonts w:ascii="Courier New" w:hAnsi="Courier New" w:cs="Courier New" w:eastAsia="Courier New"/>
          <w:b/>
          <w:color w:val="000000"/>
          <w:spacing w:val="0"/>
          <w:position w:val="0"/>
          <w:sz w:val="12"/>
          <w:shd w:fill="auto" w:val="clear"/>
        </w:rPr>
        <w:t xml:space="preserve">Форма по ОКУД</w:t>
      </w:r>
    </w:p>
    <w:p>
      <w:pPr>
        <w:widowControl w:val="false"/>
        <w:spacing w:before="0" w:after="0" w:line="339"/>
        <w:ind w:right="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Дата</w:t>
      </w:r>
    </w:p>
    <w:p>
      <w:pPr>
        <w:widowControl w:val="false"/>
        <w:tabs>
          <w:tab w:val="center" w:pos="6272" w:leader="underscore"/>
          <w:tab w:val="right" w:pos="6510" w:leader="none"/>
          <w:tab w:val="right" w:pos="7094" w:leader="none"/>
          <w:tab w:val="right" w:pos="7520" w:leader="none"/>
        </w:tabs>
        <w:spacing w:before="0" w:after="0" w:line="339"/>
        <w:ind w:right="0" w:left="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Получатель бюджетных средств</w:t>
        <w:tab/>
        <w:t xml:space="preserve"> Код</w:t>
        <w:tab/>
        <w:t xml:space="preserve">по</w:t>
        <w:tab/>
        <w:t xml:space="preserve">Сводному</w:t>
        <w:tab/>
        <w:t xml:space="preserve">реестру</w:t>
      </w:r>
    </w:p>
    <w:p>
      <w:pPr>
        <w:widowControl w:val="false"/>
        <w:tabs>
          <w:tab w:val="left" w:pos="3852" w:leader="underscore"/>
        </w:tabs>
        <w:spacing w:before="0" w:after="0" w:line="130"/>
        <w:ind w:right="0" w:left="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Главный распорядитель бюджетных средств</w:t>
        <w:tab/>
      </w:r>
    </w:p>
    <w:p>
      <w:pPr>
        <w:widowControl w:val="false"/>
        <w:spacing w:before="0" w:after="149" w:line="130"/>
        <w:ind w:right="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Номер лицевого счета</w:t>
      </w:r>
    </w:p>
    <w:p>
      <w:pPr>
        <w:widowControl w:val="false"/>
        <w:tabs>
          <w:tab w:val="left" w:pos="2855" w:leader="underscore"/>
        </w:tabs>
        <w:spacing w:before="0" w:after="0" w:line="130"/>
        <w:ind w:right="0" w:left="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Наименование бюджета</w:t>
        <w:tab/>
      </w:r>
    </w:p>
    <w:p>
      <w:pPr>
        <w:widowControl w:val="false"/>
        <w:spacing w:before="0" w:after="149" w:line="130"/>
        <w:ind w:right="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по Сводному реестру</w:t>
      </w:r>
    </w:p>
    <w:p>
      <w:pPr>
        <w:widowControl w:val="false"/>
        <w:tabs>
          <w:tab w:val="left" w:pos="2539" w:leader="underscore"/>
        </w:tabs>
        <w:spacing w:before="0" w:after="0" w:line="130"/>
        <w:ind w:right="0" w:left="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Финансовый орган</w:t>
        <w:tab/>
      </w:r>
    </w:p>
    <w:p>
      <w:pPr>
        <w:widowControl w:val="false"/>
        <w:spacing w:before="0" w:after="145" w:line="130"/>
        <w:ind w:right="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Номер лицевого счета</w:t>
      </w:r>
    </w:p>
    <w:p>
      <w:pPr>
        <w:widowControl w:val="false"/>
        <w:tabs>
          <w:tab w:val="left" w:pos="2855" w:leader="underscore"/>
        </w:tabs>
        <w:spacing w:before="0" w:after="0" w:line="130"/>
        <w:ind w:right="0" w:left="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Территориальный орган</w:t>
        <w:tab/>
      </w:r>
    </w:p>
    <w:p>
      <w:pPr>
        <w:widowControl w:val="false"/>
        <w:spacing w:before="0" w:after="149" w:line="130"/>
        <w:ind w:right="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Глава по БК</w:t>
      </w:r>
    </w:p>
    <w:p>
      <w:pPr>
        <w:widowControl w:val="false"/>
        <w:tabs>
          <w:tab w:val="left" w:pos="2855" w:leader="underscore"/>
        </w:tabs>
        <w:spacing w:before="0" w:after="0" w:line="130"/>
        <w:ind w:right="0" w:left="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Федерального казначейства</w:t>
        <w:tab/>
      </w:r>
    </w:p>
    <w:p>
      <w:pPr>
        <w:widowControl w:val="false"/>
        <w:spacing w:before="0" w:after="145" w:line="130"/>
        <w:ind w:right="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по ОКТМО</w:t>
      </w:r>
    </w:p>
    <w:p>
      <w:pPr>
        <w:widowControl w:val="false"/>
        <w:spacing w:before="0" w:after="0" w:line="130"/>
        <w:ind w:right="0" w:left="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Периодичность: ежедневная</w:t>
      </w:r>
    </w:p>
    <w:p>
      <w:pPr>
        <w:widowControl w:val="false"/>
        <w:spacing w:before="0" w:after="145" w:line="130"/>
        <w:ind w:right="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по ОКПО</w:t>
      </w:r>
    </w:p>
    <w:p>
      <w:pPr>
        <w:widowControl w:val="false"/>
        <w:spacing w:before="0" w:after="0" w:line="130"/>
        <w:ind w:right="0" w:left="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Единица измерения: руб.</w:t>
      </w:r>
    </w:p>
    <w:p>
      <w:pPr>
        <w:widowControl w:val="false"/>
        <w:spacing w:before="0" w:after="0" w:line="130"/>
        <w:ind w:right="20" w:left="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по КОФК</w:t>
      </w:r>
    </w:p>
    <w:p>
      <w:pPr>
        <w:widowControl w:val="false"/>
        <w:tabs>
          <w:tab w:val="right" w:pos="5559" w:leader="none"/>
          <w:tab w:val="right" w:pos="5938" w:leader="none"/>
          <w:tab w:val="center" w:pos="6272" w:leader="none"/>
          <w:tab w:val="right" w:pos="7520" w:leader="none"/>
        </w:tabs>
        <w:spacing w:before="0" w:after="0" w:line="334"/>
        <w:ind w:right="0" w:left="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денежные единицы в иностранной валюте</w:t>
        <w:tab/>
        <w:t xml:space="preserve">Учетный</w:t>
        <w:tab/>
        <w:t xml:space="preserve">номер</w:t>
        <w:tab/>
        <w:t xml:space="preserve">бюджетного</w:t>
        <w:tab/>
        <w:t xml:space="preserve">обязательства</w:t>
      </w:r>
    </w:p>
    <w:p>
      <w:pPr>
        <w:widowControl w:val="false"/>
        <w:spacing w:before="0" w:after="296" w:line="334"/>
        <w:ind w:right="20" w:left="642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Учетный номер денежного обязательства Признак авансового платежа</w:t>
      </w:r>
    </w:p>
    <w:p>
      <w:pPr>
        <w:widowControl w:val="false"/>
        <w:spacing w:before="0" w:after="0" w:line="120"/>
        <w:ind w:right="0" w:left="100" w:firstLine="0"/>
        <w:jc w:val="lef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2"/>
          <w:shd w:fill="auto" w:val="clear"/>
        </w:rPr>
        <w:t xml:space="preserve">383</w:t>
      </w:r>
    </w:p>
    <w:p>
      <w:pPr>
        <w:widowControl w:val="false"/>
        <w:spacing w:before="0" w:after="0" w:line="339"/>
        <w:ind w:right="20" w:left="6420" w:firstLine="0"/>
        <w:jc w:val="righ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по ОКЕИ по ОКВ</w:t>
      </w:r>
    </w:p>
    <w:p>
      <w:pPr>
        <w:widowControl w:val="false"/>
        <w:spacing w:before="9" w:after="9" w:line="240"/>
        <w:ind w:right="0" w:left="0" w:firstLine="0"/>
        <w:jc w:val="left"/>
        <w:rPr>
          <w:rFonts w:ascii="Courier New" w:hAnsi="Courier New" w:cs="Courier New" w:eastAsia="Courier New"/>
          <w:color w:val="auto"/>
          <w:spacing w:val="0"/>
          <w:position w:val="0"/>
          <w:sz w:val="19"/>
          <w:shd w:fill="auto" w:val="clear"/>
        </w:rPr>
      </w:pPr>
    </w:p>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120"/>
        <w:ind w:right="0" w:left="0" w:firstLine="0"/>
        <w:jc w:val="left"/>
        <w:rPr>
          <w:rFonts w:ascii="Courier New" w:hAnsi="Courier New" w:cs="Courier New" w:eastAsia="Courier New"/>
          <w:b/>
          <w:color w:val="000000"/>
          <w:spacing w:val="0"/>
          <w:position w:val="0"/>
          <w:sz w:val="12"/>
          <w:u w:val="single"/>
          <w:shd w:fill="auto" w:val="clear"/>
        </w:rPr>
      </w:pPr>
      <w:r>
        <w:rPr>
          <w:rFonts w:ascii="Courier New" w:hAnsi="Courier New" w:cs="Courier New" w:eastAsia="Courier New"/>
          <w:b/>
          <w:color w:val="000000"/>
          <w:spacing w:val="0"/>
          <w:position w:val="0"/>
          <w:sz w:val="12"/>
          <w:u w:val="single"/>
          <w:shd w:fill="auto" w:val="clear"/>
        </w:rPr>
        <w:t xml:space="preserve">Реквизиты документа, подтверждающего возникновение денежного обязательства</w:t>
      </w:r>
    </w:p>
    <w:p>
      <w:pPr>
        <w:widowControl w:val="false"/>
        <w:spacing w:before="0" w:after="0" w:line="120"/>
        <w:ind w:right="0" w:left="0" w:firstLine="0"/>
        <w:jc w:val="left"/>
        <w:rPr>
          <w:rFonts w:ascii="Courier New" w:hAnsi="Courier New" w:cs="Courier New" w:eastAsia="Courier New"/>
          <w:b/>
          <w:color w:val="auto"/>
          <w:spacing w:val="0"/>
          <w:position w:val="0"/>
          <w:sz w:val="12"/>
          <w:shd w:fill="auto" w:val="clear"/>
        </w:rPr>
      </w:pPr>
    </w:p>
    <w:tbl>
      <w:tblPr>
        <w:tblInd w:w="45" w:type="dxa"/>
      </w:tblPr>
      <w:tblGrid>
        <w:gridCol w:w="1729"/>
        <w:gridCol w:w="2221"/>
        <w:gridCol w:w="1860"/>
        <w:gridCol w:w="2262"/>
        <w:gridCol w:w="2632"/>
      </w:tblGrid>
      <w:tr>
        <w:trPr>
          <w:trHeight w:val="-334" w:hRule="atLeast"/>
          <w:jc w:val="center"/>
        </w:trPr>
        <w:tc>
          <w:tcPr>
            <w:tcW w:w="1729"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30"/>
              <w:ind w:right="0" w:left="16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Вид</w:t>
            </w:r>
          </w:p>
        </w:tc>
        <w:tc>
          <w:tcPr>
            <w:tcW w:w="2221"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30"/>
              <w:ind w:right="0" w:left="14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Номер</w:t>
            </w:r>
          </w:p>
        </w:tc>
        <w:tc>
          <w:tcPr>
            <w:tcW w:w="1860"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30"/>
              <w:ind w:right="0" w:left="14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Дата</w:t>
            </w:r>
          </w:p>
        </w:tc>
        <w:tc>
          <w:tcPr>
            <w:tcW w:w="2262"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30"/>
              <w:ind w:right="0" w:left="14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Сумма</w:t>
            </w:r>
          </w:p>
        </w:tc>
        <w:tc>
          <w:tcPr>
            <w:tcW w:w="2632"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130"/>
              <w:ind w:right="0" w:left="14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Предмет</w:t>
            </w:r>
          </w:p>
        </w:tc>
      </w:tr>
      <w:tr>
        <w:trPr>
          <w:trHeight w:val="-289" w:hRule="atLeast"/>
          <w:jc w:val="center"/>
        </w:trPr>
        <w:tc>
          <w:tcPr>
            <w:tcW w:w="1729"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30"/>
              <w:ind w:right="0" w:left="16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1</w:t>
            </w:r>
          </w:p>
        </w:tc>
        <w:tc>
          <w:tcPr>
            <w:tcW w:w="2221"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30"/>
              <w:ind w:right="0" w:left="14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2</w:t>
            </w:r>
          </w:p>
        </w:tc>
        <w:tc>
          <w:tcPr>
            <w:tcW w:w="1860"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30"/>
              <w:ind w:right="0" w:left="14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3</w:t>
            </w:r>
          </w:p>
        </w:tc>
        <w:tc>
          <w:tcPr>
            <w:tcW w:w="2262"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30"/>
              <w:ind w:right="0" w:left="14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4</w:t>
            </w:r>
          </w:p>
        </w:tc>
        <w:tc>
          <w:tcPr>
            <w:tcW w:w="2632"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130"/>
              <w:ind w:right="0" w:left="14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5</w:t>
            </w:r>
          </w:p>
        </w:tc>
      </w:tr>
      <w:tr>
        <w:trPr>
          <w:trHeight w:val="-311" w:hRule="atLeast"/>
          <w:jc w:val="center"/>
        </w:trPr>
        <w:tc>
          <w:tcPr>
            <w:tcW w:w="1729" w:type="dxa"/>
            <w:tcBorders>
              <w:top w:val="single" w:color="836967" w:sz="5"/>
              <w:left w:val="single" w:color="836967" w:sz="5"/>
              <w:bottom w:val="single" w:color="836967" w:sz="5"/>
              <w:right w:val="single" w:color="836967" w:sz="0"/>
            </w:tcBorders>
            <w:shd w:color="auto" w:fill="ffffff" w:val="clear"/>
            <w:tcMar>
              <w:left w:w="10" w:type="dxa"/>
              <w:right w:w="10" w:type="dxa"/>
            </w:tcMar>
            <w:vAlign w:val="center"/>
          </w:tcPr>
          <w:p>
            <w:pPr>
              <w:widowControl w:val="false"/>
              <w:spacing w:before="0" w:after="0" w:line="130"/>
              <w:ind w:right="0" w:left="16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Г</w:t>
            </w:r>
          </w:p>
        </w:tc>
        <w:tc>
          <w:tcPr>
            <w:tcW w:w="2221" w:type="dxa"/>
            <w:tcBorders>
              <w:top w:val="single" w:color="836967" w:sz="5"/>
              <w:left w:val="single" w:color="836967" w:sz="5"/>
              <w:bottom w:val="single" w:color="836967" w:sz="5"/>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860" w:type="dxa"/>
            <w:tcBorders>
              <w:top w:val="single" w:color="836967" w:sz="5"/>
              <w:left w:val="single" w:color="836967" w:sz="5"/>
              <w:bottom w:val="single" w:color="836967" w:sz="5"/>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2262" w:type="dxa"/>
            <w:tcBorders>
              <w:top w:val="single" w:color="836967" w:sz="5"/>
              <w:left w:val="single" w:color="836967" w:sz="5"/>
              <w:bottom w:val="single" w:color="836967" w:sz="5"/>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2632" w:type="dxa"/>
            <w:tcBorders>
              <w:top w:val="single" w:color="836967" w:sz="5"/>
              <w:left w:val="single" w:color="836967" w:sz="5"/>
              <w:bottom w:val="single" w:color="836967" w:sz="5"/>
              <w:right w:val="single" w:color="836967" w:sz="5"/>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r>
    </w:tbl>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120"/>
        <w:ind w:right="0" w:left="0" w:firstLine="0"/>
        <w:jc w:val="left"/>
        <w:rPr>
          <w:rFonts w:ascii="Courier New" w:hAnsi="Courier New" w:cs="Courier New" w:eastAsia="Courier New"/>
          <w:b/>
          <w:color w:val="auto"/>
          <w:spacing w:val="0"/>
          <w:position w:val="0"/>
          <w:sz w:val="12"/>
          <w:shd w:fill="auto" w:val="clear"/>
        </w:rPr>
      </w:pPr>
      <w:r>
        <w:rPr>
          <w:rFonts w:ascii="Courier New" w:hAnsi="Courier New" w:cs="Courier New" w:eastAsia="Courier New"/>
          <w:b/>
          <w:color w:val="000000"/>
          <w:spacing w:val="0"/>
          <w:position w:val="0"/>
          <w:sz w:val="12"/>
          <w:shd w:fill="auto" w:val="clear"/>
        </w:rPr>
        <w:t xml:space="preserve">Расшифровка документа, подтверждающего возникновение денежного обязательства</w:t>
      </w:r>
    </w:p>
    <w:tbl>
      <w:tblPr/>
      <w:tblGrid>
        <w:gridCol w:w="998"/>
        <w:gridCol w:w="1806"/>
        <w:gridCol w:w="1074"/>
        <w:gridCol w:w="1079"/>
        <w:gridCol w:w="1201"/>
        <w:gridCol w:w="962"/>
        <w:gridCol w:w="1327"/>
        <w:gridCol w:w="1228"/>
      </w:tblGrid>
      <w:tr>
        <w:trPr>
          <w:trHeight w:val="-181" w:hRule="atLeast"/>
          <w:jc w:val="left"/>
        </w:trPr>
        <w:tc>
          <w:tcPr>
            <w:tcW w:w="998" w:type="dxa"/>
            <w:vMerge w:val="restart"/>
            <w:tcBorders>
              <w:top w:val="single" w:color="836967" w:sz="5"/>
              <w:left w:val="single" w:color="836967" w:sz="0"/>
              <w:bottom w:val="single" w:color="836967" w:sz="0"/>
              <w:right w:val="single" w:color="836967" w:sz="0"/>
            </w:tcBorders>
            <w:shd w:color="auto" w:fill="ffffff" w:val="clear"/>
            <w:tcMar>
              <w:left w:w="10" w:type="dxa"/>
              <w:right w:w="10" w:type="dxa"/>
            </w:tcMar>
            <w:vAlign w:val="top"/>
          </w:tcPr>
          <w:p>
            <w:pPr>
              <w:widowControl w:val="false"/>
              <w:spacing w:before="0" w:after="0" w:line="172"/>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5"/>
                <w:shd w:fill="auto" w:val="clear"/>
              </w:rPr>
              <w:t xml:space="preserve">Код ебъс кта </w:t>
            </w:r>
            <w:r>
              <w:rPr>
                <w:rFonts w:ascii="Courier New" w:hAnsi="Courier New" w:cs="Courier New" w:eastAsia="Courier New"/>
                <w:i/>
                <w:color w:val="000000"/>
                <w:spacing w:val="0"/>
                <w:position w:val="0"/>
                <w:sz w:val="11"/>
                <w:shd w:fill="auto" w:val="clear"/>
              </w:rPr>
              <w:t xml:space="preserve">т&gt;</w:t>
            </w:r>
            <w:r>
              <w:rPr>
                <w:rFonts w:ascii="Courier New" w:hAnsi="Courier New" w:cs="Courier New" w:eastAsia="Courier New"/>
                <w:color w:val="000000"/>
                <w:spacing w:val="0"/>
                <w:position w:val="0"/>
                <w:sz w:val="11"/>
                <w:shd w:fill="auto" w:val="clear"/>
              </w:rPr>
              <w:t xml:space="preserve"> </w:t>
            </w:r>
            <w:r>
              <w:rPr>
                <w:rFonts w:ascii="Courier New" w:hAnsi="Courier New" w:cs="Courier New" w:eastAsia="Courier New"/>
                <w:color w:val="000000"/>
                <w:spacing w:val="0"/>
                <w:position w:val="0"/>
                <w:sz w:val="13"/>
                <w:shd w:fill="auto" w:val="clear"/>
              </w:rPr>
              <w:t xml:space="preserve">ФАИП</w:t>
            </w:r>
          </w:p>
        </w:tc>
        <w:tc>
          <w:tcPr>
            <w:tcW w:w="1806" w:type="dxa"/>
            <w:vMerge w:val="restart"/>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172"/>
              <w:ind w:right="0" w:left="460" w:hanging="10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1"/>
                <w:shd w:fill="auto" w:val="clear"/>
              </w:rPr>
              <w:t xml:space="preserve">11 М*м СМ1 </w:t>
            </w:r>
            <w:r>
              <w:rPr>
                <w:rFonts w:ascii="Courier New" w:hAnsi="Courier New" w:cs="Courier New" w:eastAsia="Courier New"/>
                <w:color w:val="000000"/>
                <w:spacing w:val="0"/>
                <w:position w:val="0"/>
                <w:sz w:val="15"/>
                <w:shd w:fill="auto" w:val="clear"/>
              </w:rPr>
              <w:t xml:space="preserve">нида срслстз*</w:t>
            </w:r>
          </w:p>
        </w:tc>
        <w:tc>
          <w:tcPr>
            <w:tcW w:w="1074" w:type="dxa"/>
            <w:vMerge w:val="restart"/>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1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i/>
                <w:color w:val="000000"/>
                <w:spacing w:val="0"/>
                <w:position w:val="0"/>
                <w:sz w:val="11"/>
                <w:shd w:fill="auto" w:val="clear"/>
              </w:rPr>
              <w:t xml:space="preserve">Кол</w:t>
            </w:r>
            <w:r>
              <w:rPr>
                <w:rFonts w:ascii="Courier New" w:hAnsi="Courier New" w:cs="Courier New" w:eastAsia="Courier New"/>
                <w:color w:val="000000"/>
                <w:spacing w:val="0"/>
                <w:position w:val="0"/>
                <w:sz w:val="11"/>
                <w:shd w:fill="auto" w:val="clear"/>
              </w:rPr>
              <w:t xml:space="preserve"> *"«*:&gt; SK</w:t>
            </w:r>
          </w:p>
        </w:tc>
        <w:tc>
          <w:tcPr>
            <w:tcW w:w="1079" w:type="dxa"/>
            <w:vMerge w:val="restart"/>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60" w:line="110"/>
              <w:ind w:right="0" w:left="0" w:firstLine="0"/>
              <w:jc w:val="center"/>
              <w:rPr>
                <w:rFonts w:ascii="Courier New" w:hAnsi="Courier New" w:cs="Courier New" w:eastAsia="Courier New"/>
                <w:color w:val="auto"/>
                <w:spacing w:val="0"/>
                <w:position w:val="0"/>
                <w:sz w:val="23"/>
                <w:shd w:fill="auto" w:val="clear"/>
              </w:rPr>
            </w:pPr>
            <w:r>
              <w:rPr>
                <w:rFonts w:ascii="Courier New" w:hAnsi="Courier New" w:cs="Courier New" w:eastAsia="Courier New"/>
                <w:color w:val="000000"/>
                <w:spacing w:val="0"/>
                <w:position w:val="0"/>
                <w:sz w:val="11"/>
                <w:shd w:fill="auto" w:val="clear"/>
              </w:rPr>
              <w:t xml:space="preserve">Андлитн-</w:t>
            </w:r>
          </w:p>
          <w:p>
            <w:pPr>
              <w:widowControl w:val="false"/>
              <w:spacing w:before="60" w:after="0" w:line="110"/>
              <w:ind w:right="140" w:left="0" w:firstLine="0"/>
              <w:jc w:val="right"/>
              <w:rPr>
                <w:rFonts w:ascii="Courier New" w:hAnsi="Courier New" w:cs="Courier New" w:eastAsia="Courier New"/>
                <w:spacing w:val="0"/>
                <w:position w:val="0"/>
                <w:shd w:fill="auto" w:val="clear"/>
              </w:rPr>
            </w:pPr>
            <w:r>
              <w:rPr>
                <w:rFonts w:ascii="Courier New" w:hAnsi="Courier New" w:cs="Courier New" w:eastAsia="Courier New"/>
                <w:i/>
                <w:color w:val="000000"/>
                <w:spacing w:val="0"/>
                <w:position w:val="0"/>
                <w:sz w:val="11"/>
                <w:shd w:fill="auto" w:val="clear"/>
              </w:rPr>
              <w:t xml:space="preserve">КОЛ</w:t>
            </w:r>
          </w:p>
        </w:tc>
        <w:tc>
          <w:tcPr>
            <w:tcW w:w="1201" w:type="dxa"/>
            <w:vMerge w:val="restart"/>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60" w:line="150"/>
              <w:ind w:right="0" w:left="0" w:firstLine="0"/>
              <w:jc w:val="center"/>
              <w:rPr>
                <w:rFonts w:ascii="Courier New" w:hAnsi="Courier New" w:cs="Courier New" w:eastAsia="Courier New"/>
                <w:color w:val="auto"/>
                <w:spacing w:val="0"/>
                <w:position w:val="0"/>
                <w:sz w:val="23"/>
                <w:shd w:fill="auto" w:val="clear"/>
              </w:rPr>
            </w:pPr>
            <w:r>
              <w:rPr>
                <w:rFonts w:ascii="Courier New" w:hAnsi="Courier New" w:cs="Courier New" w:eastAsia="Courier New"/>
                <w:color w:val="000000"/>
                <w:spacing w:val="0"/>
                <w:position w:val="0"/>
                <w:sz w:val="15"/>
                <w:shd w:fill="auto" w:val="clear"/>
              </w:rPr>
              <w:t xml:space="preserve">Сумма </w:t>
            </w:r>
            <w:r>
              <w:rPr>
                <w:rFonts w:ascii="Courier New" w:hAnsi="Courier New" w:cs="Courier New" w:eastAsia="Courier New"/>
                <w:i/>
                <w:color w:val="000000"/>
                <w:spacing w:val="0"/>
                <w:position w:val="0"/>
                <w:sz w:val="11"/>
                <w:shd w:fill="auto" w:val="clear"/>
              </w:rPr>
              <w:t xml:space="preserve">шш-</w:t>
            </w:r>
          </w:p>
          <w:p>
            <w:pPr>
              <w:widowControl w:val="false"/>
              <w:spacing w:before="60" w:after="0" w:line="150"/>
              <w:ind w:right="0" w:left="100" w:firstLine="0"/>
              <w:jc w:val="left"/>
              <w:rPr>
                <w:rFonts w:ascii="Courier New" w:hAnsi="Courier New" w:cs="Courier New" w:eastAsia="Courier New"/>
                <w:spacing w:val="0"/>
                <w:position w:val="0"/>
                <w:shd w:fill="auto" w:val="clear"/>
              </w:rPr>
            </w:pPr>
            <w:r>
              <w:rPr>
                <w:rFonts w:ascii="Courier New" w:hAnsi="Courier New" w:cs="Courier New" w:eastAsia="Courier New"/>
                <w:i/>
                <w:color w:val="000000"/>
                <w:spacing w:val="0"/>
                <w:position w:val="0"/>
                <w:sz w:val="11"/>
                <w:shd w:fill="auto" w:val="clear"/>
              </w:rPr>
              <w:t xml:space="preserve">ж</w:t>
            </w:r>
            <w:r>
              <w:rPr>
                <w:rFonts w:ascii="Courier New" w:hAnsi="Courier New" w:cs="Courier New" w:eastAsia="Courier New"/>
                <w:color w:val="000000"/>
                <w:spacing w:val="0"/>
                <w:position w:val="0"/>
                <w:sz w:val="15"/>
                <w:shd w:fill="auto" w:val="clear"/>
              </w:rPr>
              <w:t xml:space="preserve">©тс </w:t>
            </w:r>
            <w:r>
              <w:rPr>
                <w:rFonts w:ascii="Courier New" w:hAnsi="Courier New" w:cs="Courier New" w:eastAsia="Courier New"/>
                <w:i/>
                <w:color w:val="000000"/>
                <w:spacing w:val="0"/>
                <w:position w:val="0"/>
                <w:sz w:val="11"/>
                <w:shd w:fill="auto" w:val="clear"/>
              </w:rPr>
              <w:t xml:space="preserve">ш</w:t>
            </w:r>
            <w:r>
              <w:rPr>
                <w:rFonts w:ascii="Courier New" w:hAnsi="Courier New" w:cs="Courier New" w:eastAsia="Courier New"/>
                <w:color w:val="000000"/>
                <w:spacing w:val="0"/>
                <w:position w:val="0"/>
                <w:sz w:val="11"/>
                <w:shd w:fill="auto" w:val="clear"/>
              </w:rPr>
              <w:t xml:space="preserve"> </w:t>
            </w:r>
            <w:r>
              <w:rPr>
                <w:rFonts w:ascii="Courier New" w:hAnsi="Courier New" w:cs="Courier New" w:eastAsia="Courier New"/>
                <w:color w:val="000000"/>
                <w:spacing w:val="0"/>
                <w:position w:val="0"/>
                <w:sz w:val="15"/>
                <w:shd w:fill="auto" w:val="clear"/>
              </w:rPr>
              <w:t xml:space="preserve">ц</w:t>
            </w:r>
            <w:r>
              <w:rPr>
                <w:rFonts w:ascii="Courier New" w:hAnsi="Courier New" w:cs="Courier New" w:eastAsia="Courier New"/>
                <w:i/>
                <w:color w:val="000000"/>
                <w:spacing w:val="0"/>
                <w:position w:val="0"/>
                <w:sz w:val="11"/>
                <w:shd w:fill="auto" w:val="clear"/>
              </w:rPr>
              <w:t xml:space="preserve">ш.</w:t>
            </w:r>
            <w:r>
              <w:rPr>
                <w:rFonts w:ascii="Courier New" w:hAnsi="Courier New" w:cs="Courier New" w:eastAsia="Courier New"/>
                <w:color w:val="000000"/>
                <w:spacing w:val="0"/>
                <w:position w:val="0"/>
                <w:sz w:val="11"/>
                <w:shd w:fill="auto" w:val="clear"/>
              </w:rPr>
              <w:t xml:space="preserve"> </w:t>
            </w:r>
            <w:r>
              <w:rPr>
                <w:rFonts w:ascii="Courier New" w:hAnsi="Courier New" w:cs="Courier New" w:eastAsia="Courier New"/>
                <w:color w:val="000000"/>
                <w:spacing w:val="0"/>
                <w:position w:val="0"/>
                <w:sz w:val="15"/>
                <w:shd w:fill="auto" w:val="clear"/>
              </w:rPr>
              <w:t xml:space="preserve">л</w:t>
            </w:r>
          </w:p>
        </w:tc>
        <w:tc>
          <w:tcPr>
            <w:tcW w:w="962" w:type="dxa"/>
            <w:vMerge w:val="restart"/>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60" w:line="150"/>
              <w:ind w:right="0" w:left="0" w:firstLine="0"/>
              <w:jc w:val="center"/>
              <w:rPr>
                <w:rFonts w:ascii="Courier New" w:hAnsi="Courier New" w:cs="Courier New" w:eastAsia="Courier New"/>
                <w:color w:val="auto"/>
                <w:spacing w:val="0"/>
                <w:position w:val="0"/>
                <w:sz w:val="23"/>
                <w:shd w:fill="auto" w:val="clear"/>
              </w:rPr>
            </w:pPr>
            <w:r>
              <w:rPr>
                <w:rFonts w:ascii="Courier New" w:hAnsi="Courier New" w:cs="Courier New" w:eastAsia="Courier New"/>
                <w:color w:val="000000"/>
                <w:spacing w:val="0"/>
                <w:position w:val="0"/>
                <w:sz w:val="15"/>
                <w:shd w:fill="auto" w:val="clear"/>
              </w:rPr>
              <w:t xml:space="preserve">Код</w:t>
            </w:r>
          </w:p>
          <w:p>
            <w:pPr>
              <w:widowControl w:val="false"/>
              <w:spacing w:before="60" w:after="0" w:line="1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1"/>
                <w:shd w:fill="auto" w:val="clear"/>
              </w:rPr>
              <w:t xml:space="preserve">одягагы</w:t>
            </w:r>
          </w:p>
        </w:tc>
        <w:tc>
          <w:tcPr>
            <w:tcW w:w="2555" w:type="dxa"/>
            <w:gridSpan w:val="2"/>
            <w:tcBorders>
              <w:top w:val="single" w:color="836967" w:sz="5"/>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110"/>
              <w:ind w:right="0" w:left="160" w:firstLine="0"/>
              <w:jc w:val="left"/>
              <w:rPr>
                <w:spacing w:val="0"/>
                <w:position w:val="0"/>
                <w:shd w:fill="auto" w:val="clear"/>
              </w:rPr>
            </w:pPr>
            <w:r>
              <w:rPr>
                <w:rFonts w:ascii="Courier New" w:hAnsi="Courier New" w:cs="Courier New" w:eastAsia="Courier New"/>
                <w:i/>
                <w:color w:val="000000"/>
                <w:spacing w:val="0"/>
                <w:position w:val="0"/>
                <w:sz w:val="11"/>
                <w:shd w:fill="auto" w:val="clear"/>
              </w:rPr>
              <w:t xml:space="preserve">Сумма а рубпсъом</w:t>
            </w:r>
            <w:r>
              <w:rPr>
                <w:rFonts w:ascii="Courier New" w:hAnsi="Courier New" w:cs="Courier New" w:eastAsia="Courier New"/>
                <w:color w:val="000000"/>
                <w:spacing w:val="0"/>
                <w:position w:val="0"/>
                <w:sz w:val="11"/>
                <w:shd w:fill="auto" w:val="clear"/>
              </w:rPr>
              <w:t xml:space="preserve"> jk »&gt;</w:t>
            </w:r>
            <w:r>
              <w:rPr>
                <w:rFonts w:ascii="Segoe UI Symbol" w:hAnsi="Segoe UI Symbol" w:cs="Segoe UI Symbol" w:eastAsia="Segoe UI Symbol"/>
                <w:color w:val="000000"/>
                <w:spacing w:val="0"/>
                <w:position w:val="0"/>
                <w:sz w:val="11"/>
                <w:shd w:fill="auto" w:val="clear"/>
              </w:rPr>
              <w:t xml:space="preserve">♦</w:t>
            </w:r>
            <w:r>
              <w:rPr>
                <w:rFonts w:ascii="Courier New" w:hAnsi="Courier New" w:cs="Courier New" w:eastAsia="Courier New"/>
                <w:color w:val="000000"/>
                <w:spacing w:val="0"/>
                <w:position w:val="0"/>
                <w:sz w:val="11"/>
                <w:shd w:fill="auto" w:val="clear"/>
              </w:rPr>
              <w:t xml:space="preserve">«*, sets i\T</w:t>
            </w:r>
          </w:p>
        </w:tc>
      </w:tr>
      <w:tr>
        <w:trPr>
          <w:trHeight w:val="-515" w:hRule="atLeast"/>
          <w:jc w:val="left"/>
        </w:trPr>
        <w:tc>
          <w:tcPr>
            <w:tcW w:w="998" w:type="dxa"/>
            <w:vMerge/>
            <w:tcBorders>
              <w:top w:val="single" w:color="836967" w:sz="0"/>
              <w:left w:val="single" w:color="836967" w:sz="0"/>
              <w:bottom w:val="single" w:color="836967" w:sz="0"/>
              <w:right w:val="single" w:color="836967" w:sz="0"/>
            </w:tcBorders>
            <w:shd w:color="auto" w:fill="ffffff" w:val="clear"/>
            <w:tcMar>
              <w:left w:w="10" w:type="dxa"/>
              <w:right w:w="10" w:type="dxa"/>
            </w:tcMar>
            <w:vAlign w:val="top"/>
          </w:tcPr>
          <w:p>
            <w:pPr>
              <w:widowControl w:val="false"/>
              <w:spacing w:before="0" w:after="0" w:line="110"/>
              <w:ind w:right="0" w:left="160" w:firstLine="0"/>
              <w:jc w:val="left"/>
              <w:rPr>
                <w:rFonts w:ascii="Courier New" w:hAnsi="Courier New" w:cs="Courier New" w:eastAsia="Courier New"/>
                <w:color w:val="auto"/>
                <w:spacing w:val="0"/>
                <w:position w:val="0"/>
                <w:sz w:val="23"/>
                <w:shd w:fill="auto" w:val="clear"/>
              </w:rPr>
            </w:pPr>
          </w:p>
        </w:tc>
        <w:tc>
          <w:tcPr>
            <w:tcW w:w="1806"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110"/>
              <w:ind w:right="0" w:left="160" w:firstLine="0"/>
              <w:jc w:val="left"/>
              <w:rPr>
                <w:rFonts w:ascii="Courier New" w:hAnsi="Courier New" w:cs="Courier New" w:eastAsia="Courier New"/>
                <w:color w:val="auto"/>
                <w:spacing w:val="0"/>
                <w:position w:val="0"/>
                <w:sz w:val="23"/>
                <w:shd w:fill="auto" w:val="clear"/>
              </w:rPr>
            </w:pPr>
          </w:p>
        </w:tc>
        <w:tc>
          <w:tcPr>
            <w:tcW w:w="1074"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110"/>
              <w:ind w:right="0" w:left="160" w:firstLine="0"/>
              <w:jc w:val="left"/>
              <w:rPr>
                <w:rFonts w:ascii="Courier New" w:hAnsi="Courier New" w:cs="Courier New" w:eastAsia="Courier New"/>
                <w:color w:val="auto"/>
                <w:spacing w:val="0"/>
                <w:position w:val="0"/>
                <w:sz w:val="23"/>
                <w:shd w:fill="auto" w:val="clear"/>
              </w:rPr>
            </w:pPr>
          </w:p>
        </w:tc>
        <w:tc>
          <w:tcPr>
            <w:tcW w:w="1079"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110"/>
              <w:ind w:right="0" w:left="160" w:firstLine="0"/>
              <w:jc w:val="left"/>
              <w:rPr>
                <w:rFonts w:ascii="Courier New" w:hAnsi="Courier New" w:cs="Courier New" w:eastAsia="Courier New"/>
                <w:color w:val="auto"/>
                <w:spacing w:val="0"/>
                <w:position w:val="0"/>
                <w:sz w:val="23"/>
                <w:shd w:fill="auto" w:val="clear"/>
              </w:rPr>
            </w:pPr>
          </w:p>
        </w:tc>
        <w:tc>
          <w:tcPr>
            <w:tcW w:w="1201"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110"/>
              <w:ind w:right="0" w:left="160" w:firstLine="0"/>
              <w:jc w:val="left"/>
              <w:rPr>
                <w:rFonts w:ascii="Courier New" w:hAnsi="Courier New" w:cs="Courier New" w:eastAsia="Courier New"/>
                <w:color w:val="auto"/>
                <w:spacing w:val="0"/>
                <w:position w:val="0"/>
                <w:sz w:val="23"/>
                <w:shd w:fill="auto" w:val="clear"/>
              </w:rPr>
            </w:pPr>
          </w:p>
        </w:tc>
        <w:tc>
          <w:tcPr>
            <w:tcW w:w="962"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110"/>
              <w:ind w:right="0" w:left="160" w:firstLine="0"/>
              <w:jc w:val="left"/>
              <w:rPr>
                <w:rFonts w:ascii="Courier New" w:hAnsi="Courier New" w:cs="Courier New" w:eastAsia="Courier New"/>
                <w:color w:val="auto"/>
                <w:spacing w:val="0"/>
                <w:position w:val="0"/>
                <w:sz w:val="23"/>
                <w:shd w:fill="auto" w:val="clear"/>
              </w:rPr>
            </w:pPr>
          </w:p>
        </w:tc>
        <w:tc>
          <w:tcPr>
            <w:tcW w:w="1327"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1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1"/>
                <w:shd w:fill="auto" w:val="clear"/>
              </w:rPr>
              <w:t xml:space="preserve">исеп*</w:t>
            </w:r>
          </w:p>
        </w:tc>
        <w:tc>
          <w:tcPr>
            <w:tcW w:w="1228" w:type="dxa"/>
            <w:tcBorders>
              <w:top w:val="single" w:color="836967" w:sz="5"/>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172"/>
              <w:ind w:right="0" w:left="0" w:firstLine="0"/>
              <w:jc w:val="both"/>
              <w:rPr>
                <w:rFonts w:ascii="Courier New" w:hAnsi="Courier New" w:cs="Courier New" w:eastAsia="Courier New"/>
                <w:color w:val="auto"/>
                <w:spacing w:val="0"/>
                <w:position w:val="0"/>
                <w:sz w:val="23"/>
                <w:shd w:fill="auto" w:val="clear"/>
              </w:rPr>
            </w:pPr>
            <w:r>
              <w:rPr>
                <w:rFonts w:ascii="Courier New" w:hAnsi="Courier New" w:cs="Courier New" w:eastAsia="Courier New"/>
                <w:i/>
                <w:color w:val="000000"/>
                <w:spacing w:val="0"/>
                <w:position w:val="0"/>
                <w:sz w:val="11"/>
                <w:shd w:fill="auto" w:val="clear"/>
              </w:rPr>
              <w:t xml:space="preserve">и</w:t>
            </w:r>
            <w:r>
              <w:rPr>
                <w:rFonts w:ascii="Courier New" w:hAnsi="Courier New" w:cs="Courier New" w:eastAsia="Courier New"/>
                <w:color w:val="000000"/>
                <w:spacing w:val="0"/>
                <w:position w:val="0"/>
                <w:sz w:val="11"/>
                <w:shd w:fill="auto" w:val="clear"/>
              </w:rPr>
              <w:t xml:space="preserve"> т </w:t>
            </w:r>
            <w:r>
              <w:rPr>
                <w:rFonts w:ascii="Courier New" w:hAnsi="Courier New" w:cs="Courier New" w:eastAsia="Courier New"/>
                <w:i/>
                <w:color w:val="000000"/>
                <w:spacing w:val="0"/>
                <w:position w:val="0"/>
                <w:sz w:val="11"/>
                <w:shd w:fill="auto" w:val="clear"/>
              </w:rPr>
              <w:t xml:space="preserve">ом</w:t>
            </w:r>
            <w:r>
              <w:rPr>
                <w:rFonts w:ascii="Courier New" w:hAnsi="Courier New" w:cs="Courier New" w:eastAsia="Courier New"/>
                <w:color w:val="000000"/>
                <w:spacing w:val="0"/>
                <w:position w:val="0"/>
                <w:sz w:val="11"/>
                <w:shd w:fill="auto" w:val="clear"/>
              </w:rPr>
              <w:t xml:space="preserve"> чмслй шдо'юс.’юк*</w:t>
            </w:r>
          </w:p>
          <w:p>
            <w:pPr>
              <w:widowControl w:val="false"/>
              <w:spacing w:before="0" w:after="0" w:line="1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i/>
                <w:color w:val="000000"/>
                <w:spacing w:val="0"/>
                <w:position w:val="0"/>
                <w:sz w:val="11"/>
                <w:shd w:fill="auto" w:val="clear"/>
              </w:rPr>
              <w:t xml:space="preserve">сумм тятя</w:t>
            </w:r>
          </w:p>
        </w:tc>
      </w:tr>
      <w:tr>
        <w:trPr>
          <w:trHeight w:val="-176" w:hRule="atLeast"/>
          <w:jc w:val="left"/>
        </w:trPr>
        <w:tc>
          <w:tcPr>
            <w:tcW w:w="998" w:type="dxa"/>
            <w:tcBorders>
              <w:top w:val="single" w:color="836967" w:sz="5"/>
              <w:left w:val="single" w:color="836967" w:sz="0"/>
              <w:bottom w:val="single" w:color="836967" w:sz="0"/>
              <w:right w:val="single" w:color="836967" w:sz="0"/>
            </w:tcBorders>
            <w:shd w:color="auto" w:fill="ffffff" w:val="clear"/>
            <w:tcMar>
              <w:left w:w="10" w:type="dxa"/>
              <w:right w:w="10" w:type="dxa"/>
            </w:tcMar>
            <w:vAlign w:val="bottom"/>
          </w:tcPr>
          <w:p>
            <w:pPr>
              <w:widowControl w:val="false"/>
              <w:spacing w:before="0" w:after="0" w:line="1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1"/>
                <w:shd w:fill="auto" w:val="clear"/>
              </w:rPr>
              <w:t xml:space="preserve">1</w:t>
            </w:r>
          </w:p>
        </w:tc>
        <w:tc>
          <w:tcPr>
            <w:tcW w:w="1806" w:type="dxa"/>
            <w:tcBorders>
              <w:top w:val="single" w:color="836967" w:sz="5"/>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1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i/>
                <w:color w:val="000000"/>
                <w:spacing w:val="0"/>
                <w:position w:val="0"/>
                <w:sz w:val="11"/>
                <w:shd w:fill="auto" w:val="clear"/>
              </w:rPr>
              <w:t xml:space="preserve">2</w:t>
            </w:r>
          </w:p>
        </w:tc>
        <w:tc>
          <w:tcPr>
            <w:tcW w:w="107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1"/>
                <w:shd w:fill="auto" w:val="clear"/>
              </w:rPr>
              <w:t xml:space="preserve">&gt;</w:t>
            </w:r>
          </w:p>
        </w:tc>
        <w:tc>
          <w:tcPr>
            <w:tcW w:w="1079"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01"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3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5</w:t>
            </w:r>
          </w:p>
        </w:tc>
        <w:tc>
          <w:tcPr>
            <w:tcW w:w="962" w:type="dxa"/>
            <w:tcBorders>
              <w:top w:val="single" w:color="836967" w:sz="5"/>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13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3"/>
                <w:shd w:fill="auto" w:val="clear"/>
              </w:rPr>
              <w:t xml:space="preserve">6</w:t>
            </w:r>
          </w:p>
        </w:tc>
        <w:tc>
          <w:tcPr>
            <w:tcW w:w="1327"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i/>
                <w:color w:val="000000"/>
                <w:spacing w:val="0"/>
                <w:position w:val="0"/>
                <w:sz w:val="11"/>
                <w:shd w:fill="auto" w:val="clear"/>
              </w:rPr>
              <w:t xml:space="preserve">У</w:t>
            </w:r>
          </w:p>
        </w:tc>
        <w:tc>
          <w:tcPr>
            <w:tcW w:w="1228"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1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i/>
                <w:color w:val="000000"/>
                <w:spacing w:val="0"/>
                <w:position w:val="0"/>
                <w:sz w:val="11"/>
                <w:shd w:fill="auto" w:val="clear"/>
              </w:rPr>
              <w:t xml:space="preserve">н</w:t>
            </w:r>
          </w:p>
        </w:tc>
      </w:tr>
      <w:tr>
        <w:trPr>
          <w:trHeight w:val="-185" w:hRule="atLeast"/>
          <w:jc w:val="left"/>
        </w:trPr>
        <w:tc>
          <w:tcPr>
            <w:tcW w:w="998"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806"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07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079"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01"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962"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327"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28" w:type="dxa"/>
            <w:tcBorders>
              <w:top w:val="single" w:color="836967" w:sz="5"/>
              <w:left w:val="single" w:color="836967" w:sz="5"/>
              <w:bottom w:val="single" w:color="836967" w:sz="0"/>
              <w:right w:val="single" w:color="836967" w:sz="5"/>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r>
      <w:tr>
        <w:trPr>
          <w:trHeight w:val="-185" w:hRule="atLeast"/>
          <w:jc w:val="left"/>
        </w:trPr>
        <w:tc>
          <w:tcPr>
            <w:tcW w:w="998" w:type="dxa"/>
            <w:vMerge w:val="restart"/>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tabs>
                <w:tab w:val="left" w:pos="311" w:leader="dot"/>
                <w:tab w:val="left" w:pos="916" w:leader="dot"/>
              </w:tabs>
              <w:spacing w:before="0" w:after="0" w:line="11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1"/>
                <w:shd w:fill="auto" w:val="clear"/>
              </w:rPr>
              <w:tab/>
              <w:t xml:space="preserve">-</w:t>
              <w:tab/>
            </w:r>
          </w:p>
        </w:tc>
        <w:tc>
          <w:tcPr>
            <w:tcW w:w="1806"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07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079"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01"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962"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327"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28" w:type="dxa"/>
            <w:tcBorders>
              <w:top w:val="single" w:color="836967" w:sz="5"/>
              <w:left w:val="single" w:color="836967" w:sz="5"/>
              <w:bottom w:val="single" w:color="836967" w:sz="0"/>
              <w:right w:val="single" w:color="836967" w:sz="5"/>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r>
      <w:tr>
        <w:trPr>
          <w:trHeight w:val="-181" w:hRule="atLeast"/>
          <w:jc w:val="left"/>
        </w:trPr>
        <w:tc>
          <w:tcPr>
            <w:tcW w:w="998"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806"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07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079"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01"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962"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327"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28" w:type="dxa"/>
            <w:tcBorders>
              <w:top w:val="single" w:color="836967" w:sz="5"/>
              <w:left w:val="single" w:color="836967" w:sz="5"/>
              <w:bottom w:val="single" w:color="836967" w:sz="0"/>
              <w:right w:val="single" w:color="836967" w:sz="5"/>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r>
      <w:tr>
        <w:trPr>
          <w:trHeight w:val="-190" w:hRule="atLeast"/>
          <w:jc w:val="left"/>
        </w:trPr>
        <w:tc>
          <w:tcPr>
            <w:tcW w:w="998"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806"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07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079"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01"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962"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327"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28" w:type="dxa"/>
            <w:tcBorders>
              <w:top w:val="single" w:color="836967" w:sz="5"/>
              <w:left w:val="single" w:color="836967" w:sz="5"/>
              <w:bottom w:val="single" w:color="836967" w:sz="0"/>
              <w:right w:val="single" w:color="836967" w:sz="5"/>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r>
      <w:tr>
        <w:trPr>
          <w:trHeight w:val="-217" w:hRule="atLeast"/>
          <w:jc w:val="left"/>
        </w:trPr>
        <w:tc>
          <w:tcPr>
            <w:tcW w:w="7120" w:type="dxa"/>
            <w:gridSpan w:val="6"/>
            <w:tcBorders>
              <w:top w:val="single" w:color="836967" w:sz="5"/>
              <w:left w:val="single" w:color="836967" w:sz="0"/>
              <w:bottom w:val="single" w:color="836967" w:sz="0"/>
              <w:right w:val="single" w:color="836967" w:sz="0"/>
            </w:tcBorders>
            <w:shd w:color="auto" w:fill="ffffff" w:val="clear"/>
            <w:tcMar>
              <w:left w:w="10" w:type="dxa"/>
              <w:right w:w="10" w:type="dxa"/>
            </w:tcMar>
            <w:vAlign w:val="top"/>
          </w:tcPr>
          <w:p>
            <w:pPr>
              <w:widowControl w:val="false"/>
              <w:spacing w:before="0" w:after="0" w:line="150"/>
              <w:ind w:right="40" w:left="0" w:firstLine="0"/>
              <w:jc w:val="righ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15"/>
                <w:shd w:fill="auto" w:val="clear"/>
              </w:rPr>
              <w:t xml:space="preserve">Итого:</w:t>
            </w:r>
          </w:p>
        </w:tc>
        <w:tc>
          <w:tcPr>
            <w:tcW w:w="1327" w:type="dxa"/>
            <w:tcBorders>
              <w:top w:val="single" w:color="836967" w:sz="5"/>
              <w:left w:val="single" w:color="836967" w:sz="5"/>
              <w:bottom w:val="single" w:color="836967" w:sz="5"/>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1228" w:type="dxa"/>
            <w:tcBorders>
              <w:top w:val="single" w:color="836967" w:sz="5"/>
              <w:left w:val="single" w:color="836967" w:sz="5"/>
              <w:bottom w:val="single" w:color="836967" w:sz="5"/>
              <w:right w:val="single" w:color="836967" w:sz="5"/>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r>
    </w:tbl>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156" w:after="0" w:line="149"/>
        <w:ind w:right="0" w:left="14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Руководитель</w:t>
      </w:r>
    </w:p>
    <w:p>
      <w:pPr>
        <w:widowControl w:val="false"/>
        <w:tabs>
          <w:tab w:val="left" w:pos="5164" w:leader="underscore"/>
        </w:tabs>
        <w:spacing w:before="0" w:after="0" w:line="149"/>
        <w:ind w:right="0" w:left="14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(уполномоченное лицо)</w:t>
        <w:tab/>
      </w:r>
    </w:p>
    <w:p>
      <w:pPr>
        <w:widowControl w:val="false"/>
        <w:spacing w:before="0" w:after="0" w:line="149"/>
        <w:ind w:right="0" w:left="14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(должность) (подпись) (расшифровка подписи)</w:t>
      </w:r>
    </w:p>
    <w:p>
      <w:pPr>
        <w:widowControl w:val="false"/>
        <w:spacing w:before="0" w:after="0" w:line="149"/>
        <w:ind w:right="0" w:left="14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Главный бухгалтер</w:t>
      </w:r>
    </w:p>
    <w:p>
      <w:pPr>
        <w:widowControl w:val="false"/>
        <w:tabs>
          <w:tab w:val="left" w:pos="5164" w:leader="underscore"/>
        </w:tabs>
        <w:spacing w:before="0" w:after="0" w:line="149"/>
        <w:ind w:right="0" w:left="14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(уполномоченное лицо)</w:t>
        <w:tab/>
      </w:r>
    </w:p>
    <w:p>
      <w:pPr>
        <w:widowControl w:val="false"/>
        <w:spacing w:before="0" w:after="0" w:line="149"/>
        <w:ind w:right="0" w:left="14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(должность) (подпись) (расшифровка подписи)</w:t>
      </w:r>
    </w:p>
    <w:p>
      <w:pPr>
        <w:widowControl w:val="false"/>
        <w:tabs>
          <w:tab w:val="center" w:pos="916" w:leader="none"/>
          <w:tab w:val="right" w:pos="1381" w:leader="none"/>
        </w:tabs>
        <w:spacing w:before="0" w:after="0" w:line="149"/>
        <w:ind w:right="0" w:left="14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u w:val="single"/>
          <w:shd w:fill="auto" w:val="clear"/>
        </w:rPr>
        <w:t xml:space="preserve">« »</w:t>
        <w:tab/>
        <w:t xml:space="preserve">20</w:t>
        <w:tab/>
        <w:t xml:space="preserve">г.</w:t>
      </w:r>
    </w:p>
    <w:p>
      <w:pPr>
        <w:widowControl w:val="false"/>
        <w:tabs>
          <w:tab w:val="right" w:pos="2818" w:leader="none"/>
          <w:tab w:val="right" w:pos="3468" w:leader="none"/>
          <w:tab w:val="left" w:pos="3637" w:leader="none"/>
        </w:tabs>
        <w:spacing w:before="0" w:after="0" w:line="307"/>
        <w:ind w:right="5300" w:left="200" w:firstLine="2420"/>
        <w:jc w:val="lef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Отметка органа Федерального казначейства Номер сведений</w:t>
        <w:tab/>
        <w:t xml:space="preserve">о</w:t>
        <w:tab/>
        <w:t xml:space="preserve">регистрации</w:t>
        <w:tab/>
        <w:t xml:space="preserve">Сведений о денежном обязательстве</w:t>
      </w:r>
    </w:p>
    <w:p>
      <w:pPr>
        <w:widowControl w:val="false"/>
        <w:spacing w:before="0" w:after="20" w:line="130"/>
        <w:ind w:right="0" w:left="14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Ответственный исполнитель</w:t>
      </w:r>
    </w:p>
    <w:p>
      <w:pPr>
        <w:widowControl w:val="false"/>
        <w:tabs>
          <w:tab w:val="right" w:pos="9752" w:leader="none"/>
        </w:tabs>
        <w:spacing w:before="0" w:after="0" w:line="302"/>
        <w:ind w:right="0" w:left="262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(должность) (подпись) (расшифровка подписи)</w:t>
        <w:tab/>
        <w:t xml:space="preserve">(телефон)</w:t>
      </w:r>
    </w:p>
    <w:p>
      <w:pPr>
        <w:widowControl w:val="false"/>
        <w:tabs>
          <w:tab w:val="right" w:pos="448" w:leader="none"/>
          <w:tab w:val="right" w:pos="2818" w:leader="none"/>
          <w:tab w:val="right" w:pos="2969" w:leader="none"/>
        </w:tabs>
        <w:spacing w:before="0" w:after="183" w:line="302"/>
        <w:ind w:right="0" w:left="200" w:firstLine="0"/>
        <w:jc w:val="both"/>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w:t>
        <w:tab/>
        <w:t xml:space="preserve">»</w:t>
        <w:tab/>
        <w:t xml:space="preserve">20</w:t>
        <w:tab/>
        <w:t xml:space="preserve">г.</w:t>
      </w:r>
    </w:p>
    <w:p>
      <w:pPr>
        <w:widowControl w:val="false"/>
        <w:tabs>
          <w:tab w:val="left" w:pos="1135" w:leader="underscore"/>
        </w:tabs>
        <w:spacing w:before="0" w:after="0" w:line="149"/>
        <w:ind w:right="9780" w:left="140" w:firstLine="0"/>
        <w:jc w:val="left"/>
        <w:rPr>
          <w:rFonts w:ascii="Courier New" w:hAnsi="Courier New" w:cs="Courier New" w:eastAsia="Courier New"/>
          <w:color w:val="auto"/>
          <w:spacing w:val="0"/>
          <w:position w:val="0"/>
          <w:sz w:val="13"/>
          <w:shd w:fill="auto" w:val="clear"/>
        </w:rPr>
      </w:pPr>
      <w:r>
        <w:rPr>
          <w:rFonts w:ascii="Courier New" w:hAnsi="Courier New" w:cs="Courier New" w:eastAsia="Courier New"/>
          <w:color w:val="000000"/>
          <w:spacing w:val="0"/>
          <w:position w:val="0"/>
          <w:sz w:val="13"/>
          <w:shd w:fill="auto" w:val="clear"/>
        </w:rPr>
        <w:t xml:space="preserve">Номер страницы Всего страниц</w:t>
        <w:tab/>
      </w:r>
      <w:r>
        <w:rPr>
          <w:rFonts w:ascii="Courier New" w:hAnsi="Courier New" w:cs="Courier New" w:eastAsia="Courier New"/>
          <w:color w:val="auto"/>
          <w:spacing w:val="0"/>
          <w:position w:val="0"/>
          <w:sz w:val="13"/>
          <w:shd w:fill="auto" w:val="clear"/>
        </w:rPr>
        <w:t xml:space="preserve"> </w:t>
      </w:r>
    </w:p>
    <w:p>
      <w:pPr>
        <w:widowControl w:val="false"/>
        <w:tabs>
          <w:tab w:val="left" w:pos="1135" w:leader="underscore"/>
        </w:tabs>
        <w:spacing w:before="0" w:after="0" w:line="149"/>
        <w:ind w:right="9780" w:left="140" w:firstLine="0"/>
        <w:jc w:val="left"/>
        <w:rPr>
          <w:rFonts w:ascii="Courier New" w:hAnsi="Courier New" w:cs="Courier New" w:eastAsia="Courier New"/>
          <w:color w:val="auto"/>
          <w:spacing w:val="0"/>
          <w:position w:val="0"/>
          <w:sz w:val="13"/>
          <w:shd w:fill="auto" w:val="clear"/>
        </w:rPr>
      </w:pPr>
    </w:p>
    <w:p>
      <w:pPr>
        <w:widowControl w:val="false"/>
        <w:spacing w:before="0" w:after="434" w:line="230"/>
        <w:ind w:right="0" w:left="0" w:firstLine="0"/>
        <w:jc w:val="right"/>
        <w:rPr>
          <w:rFonts w:ascii="Courier New" w:hAnsi="Courier New" w:cs="Courier New" w:eastAsia="Courier New"/>
          <w:color w:val="auto"/>
          <w:spacing w:val="0"/>
          <w:position w:val="0"/>
          <w:sz w:val="23"/>
          <w:shd w:fill="auto" w:val="clear"/>
        </w:rPr>
      </w:pPr>
      <w:r>
        <w:rPr>
          <w:rFonts w:ascii="Courier New" w:hAnsi="Courier New" w:cs="Courier New" w:eastAsia="Courier New"/>
          <w:color w:val="000000"/>
          <w:spacing w:val="0"/>
          <w:position w:val="0"/>
          <w:sz w:val="23"/>
          <w:shd w:fill="auto" w:val="clear"/>
        </w:rPr>
        <w:t xml:space="preserve">Приложение № 3</w:t>
      </w:r>
    </w:p>
    <w:p>
      <w:pPr>
        <w:widowControl w:val="false"/>
        <w:spacing w:before="0" w:after="0" w:line="289"/>
        <w:ind w:right="0" w:left="0" w:firstLine="0"/>
        <w:jc w:val="center"/>
        <w:rPr>
          <w:rFonts w:ascii="Courier New" w:hAnsi="Courier New" w:cs="Courier New" w:eastAsia="Courier New"/>
          <w:b/>
          <w:color w:val="auto"/>
          <w:spacing w:val="0"/>
          <w:position w:val="0"/>
          <w:sz w:val="23"/>
          <w:shd w:fill="auto" w:val="clear"/>
        </w:rPr>
      </w:pPr>
      <w:r>
        <w:rPr>
          <w:rFonts w:ascii="Courier New" w:hAnsi="Courier New" w:cs="Courier New" w:eastAsia="Courier New"/>
          <w:b/>
          <w:color w:val="000000"/>
          <w:spacing w:val="0"/>
          <w:position w:val="0"/>
          <w:sz w:val="23"/>
          <w:shd w:fill="auto" w:val="clear"/>
        </w:rPr>
        <w:t xml:space="preserve">Перечень документов, на основании которых возникают бюджетные обязательства</w:t>
      </w:r>
    </w:p>
    <w:p>
      <w:pPr>
        <w:widowControl w:val="false"/>
        <w:spacing w:before="0" w:after="0" w:line="289"/>
        <w:ind w:right="0" w:left="0" w:firstLine="0"/>
        <w:jc w:val="center"/>
        <w:rPr>
          <w:rFonts w:ascii="Courier New" w:hAnsi="Courier New" w:cs="Courier New" w:eastAsia="Courier New"/>
          <w:b/>
          <w:color w:val="auto"/>
          <w:spacing w:val="0"/>
          <w:position w:val="0"/>
          <w:sz w:val="23"/>
          <w:shd w:fill="auto" w:val="clear"/>
        </w:rPr>
      </w:pPr>
      <w:r>
        <w:rPr>
          <w:rFonts w:ascii="Courier New" w:hAnsi="Courier New" w:cs="Courier New" w:eastAsia="Courier New"/>
          <w:b/>
          <w:color w:val="000000"/>
          <w:spacing w:val="0"/>
          <w:position w:val="0"/>
          <w:sz w:val="23"/>
          <w:shd w:fill="auto" w:val="clear"/>
        </w:rPr>
        <w:t xml:space="preserve">получателей средств бюджета, и документов, подтверждающих возникновение денежных обязательств получателей средств бюджета</w:t>
      </w:r>
    </w:p>
    <w:tbl>
      <w:tblPr>
        <w:tblInd w:w="45" w:type="dxa"/>
      </w:tblPr>
      <w:tblGrid>
        <w:gridCol w:w="564"/>
        <w:gridCol w:w="4776"/>
        <w:gridCol w:w="5065"/>
      </w:tblGrid>
      <w:tr>
        <w:trPr>
          <w:trHeight w:val="-998" w:hRule="atLeast"/>
          <w:jc w:val="center"/>
        </w:trPr>
        <w:tc>
          <w:tcPr>
            <w:tcW w:w="56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60" w:line="220"/>
              <w:ind w:right="0" w:left="160" w:firstLine="0"/>
              <w:jc w:val="left"/>
              <w:rPr>
                <w:rFonts w:ascii="Courier New" w:hAnsi="Courier New" w:cs="Courier New" w:eastAsia="Courier New"/>
                <w:color w:val="auto"/>
                <w:spacing w:val="0"/>
                <w:position w:val="0"/>
                <w:sz w:val="23"/>
                <w:shd w:fill="auto" w:val="clear"/>
              </w:rPr>
            </w:pPr>
            <w:r>
              <w:rPr>
                <w:rFonts w:ascii="Courier New" w:hAnsi="Courier New" w:cs="Courier New" w:eastAsia="Courier New"/>
                <w:color w:val="000000"/>
                <w:spacing w:val="0"/>
                <w:position w:val="0"/>
                <w:sz w:val="22"/>
                <w:shd w:fill="auto" w:val="clear"/>
              </w:rPr>
              <w:t xml:space="preserve">N</w:t>
            </w:r>
          </w:p>
          <w:p>
            <w:pPr>
              <w:widowControl w:val="false"/>
              <w:spacing w:before="60" w:after="0" w:line="210"/>
              <w:ind w:right="0" w:left="160" w:firstLine="0"/>
              <w:jc w:val="left"/>
              <w:rPr>
                <w:rFonts w:ascii="Courier New" w:hAnsi="Courier New" w:cs="Courier New" w:eastAsia="Courier New"/>
                <w:spacing w:val="0"/>
                <w:position w:val="0"/>
                <w:shd w:fill="auto" w:val="clear"/>
              </w:rPr>
            </w:pPr>
            <w:r>
              <w:rPr>
                <w:rFonts w:ascii="Courier New" w:hAnsi="Courier New" w:cs="Courier New" w:eastAsia="Courier New"/>
                <w:b/>
                <w:color w:val="000000"/>
                <w:spacing w:val="0"/>
                <w:position w:val="0"/>
                <w:sz w:val="21"/>
                <w:shd w:fill="auto" w:val="clear"/>
              </w:rPr>
              <w:t xml:space="preserve">п/п</w:t>
            </w:r>
          </w:p>
        </w:tc>
        <w:tc>
          <w:tcPr>
            <w:tcW w:w="4776"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b/>
                <w:color w:val="000000"/>
                <w:spacing w:val="0"/>
                <w:position w:val="0"/>
                <w:sz w:val="21"/>
                <w:shd w:fill="auto" w:val="clear"/>
              </w:rPr>
              <w:t xml:space="preserve">Документ, на основании которого возникает бюджетное обязательство получателя средств бюджета</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b/>
                <w:color w:val="000000"/>
                <w:spacing w:val="0"/>
                <w:position w:val="0"/>
                <w:sz w:val="21"/>
                <w:shd w:fill="auto" w:val="clear"/>
              </w:rPr>
              <w:t xml:space="preserve">Документ, подтверждающий возникновение денежного обязательства получателя средств бюджета</w:t>
            </w:r>
          </w:p>
        </w:tc>
      </w:tr>
      <w:tr>
        <w:trPr>
          <w:trHeight w:val="-488" w:hRule="atLeast"/>
          <w:jc w:val="center"/>
        </w:trPr>
        <w:tc>
          <w:tcPr>
            <w:tcW w:w="56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10"/>
              <w:ind w:right="0" w:left="280" w:firstLine="0"/>
              <w:jc w:val="left"/>
              <w:rPr>
                <w:rFonts w:ascii="Courier New" w:hAnsi="Courier New" w:cs="Courier New" w:eastAsia="Courier New"/>
                <w:spacing w:val="0"/>
                <w:position w:val="0"/>
                <w:shd w:fill="auto" w:val="clear"/>
              </w:rPr>
            </w:pPr>
            <w:r>
              <w:rPr>
                <w:rFonts w:ascii="Courier New" w:hAnsi="Courier New" w:cs="Courier New" w:eastAsia="Courier New"/>
                <w:b/>
                <w:color w:val="000000"/>
                <w:spacing w:val="0"/>
                <w:position w:val="0"/>
                <w:sz w:val="21"/>
                <w:shd w:fill="auto" w:val="clear"/>
              </w:rPr>
              <w:t xml:space="preserve">1</w:t>
            </w:r>
          </w:p>
        </w:tc>
        <w:tc>
          <w:tcPr>
            <w:tcW w:w="4776" w:type="dxa"/>
            <w:tcBorders>
              <w:top w:val="single" w:color="836967" w:sz="5"/>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1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b/>
                <w:color w:val="000000"/>
                <w:spacing w:val="0"/>
                <w:position w:val="0"/>
                <w:sz w:val="21"/>
                <w:shd w:fill="auto" w:val="clear"/>
              </w:rPr>
              <w:t xml:space="preserve">2</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2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3</w:t>
            </w:r>
          </w:p>
        </w:tc>
      </w:tr>
      <w:tr>
        <w:trPr>
          <w:trHeight w:val="-713" w:hRule="atLeast"/>
          <w:jc w:val="center"/>
        </w:trPr>
        <w:tc>
          <w:tcPr>
            <w:tcW w:w="56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220"/>
              <w:ind w:right="0" w:left="28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1.</w:t>
            </w:r>
          </w:p>
        </w:tc>
        <w:tc>
          <w:tcPr>
            <w:tcW w:w="4776" w:type="dxa"/>
            <w:tcBorders>
              <w:top w:val="single" w:color="836967" w:sz="5"/>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Извещение об осуществлении закупки</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53"/>
              <w:ind w:right="0" w:left="10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Формирование денежного обязательства не предусматривается</w:t>
            </w:r>
          </w:p>
        </w:tc>
      </w:tr>
      <w:tr>
        <w:trPr>
          <w:trHeight w:val="-456" w:hRule="atLeast"/>
          <w:jc w:val="center"/>
        </w:trPr>
        <w:tc>
          <w:tcPr>
            <w:tcW w:w="56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Акт выполненных работ</w:t>
            </w:r>
          </w:p>
        </w:tc>
      </w:tr>
      <w:tr>
        <w:trPr>
          <w:trHeight w:val="-456" w:hRule="atLeast"/>
          <w:jc w:val="center"/>
        </w:trPr>
        <w:tc>
          <w:tcPr>
            <w:tcW w:w="564"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Акт об оказании услуг</w:t>
            </w:r>
          </w:p>
        </w:tc>
      </w:tr>
      <w:tr>
        <w:trPr>
          <w:trHeight w:val="-456" w:hRule="atLeast"/>
          <w:jc w:val="center"/>
        </w:trPr>
        <w:tc>
          <w:tcPr>
            <w:tcW w:w="564"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Акт приема-передачи</w:t>
            </w:r>
          </w:p>
        </w:tc>
      </w:tr>
      <w:tr>
        <w:trPr>
          <w:trHeight w:val="-1490" w:hRule="atLeast"/>
          <w:jc w:val="center"/>
        </w:trPr>
        <w:tc>
          <w:tcPr>
            <w:tcW w:w="564"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tcBorders>
              <w:top w:val="single" w:color="836967" w:sz="0"/>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Муниципальный контракт (договор) на поставку товаров, выполнение работ, оказание</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57"/>
              <w:ind w:right="0" w:left="10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trPr>
          <w:trHeight w:val="-718" w:hRule="atLeast"/>
          <w:jc w:val="center"/>
        </w:trPr>
        <w:tc>
          <w:tcPr>
            <w:tcW w:w="564"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vMerge w:val="restart"/>
            <w:tcBorders>
              <w:top w:val="single" w:color="836967" w:sz="0"/>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услуг для обеспечения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Справка-расчет или иной документ, являющийся основанием для оплаты неустойки</w:t>
            </w:r>
          </w:p>
        </w:tc>
      </w:tr>
      <w:tr>
        <w:trPr>
          <w:trHeight w:val="-465" w:hRule="atLeast"/>
          <w:jc w:val="center"/>
        </w:trPr>
        <w:tc>
          <w:tcPr>
            <w:tcW w:w="564" w:type="dxa"/>
            <w:vMerge w:val="restart"/>
            <w:tcBorders>
              <w:top w:val="single" w:color="836967" w:sz="0"/>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220"/>
              <w:ind w:right="0" w:left="16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2.</w:t>
            </w:r>
          </w:p>
        </w:tc>
        <w:tc>
          <w:tcPr>
            <w:tcW w:w="4776"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20"/>
              <w:ind w:right="0" w:left="160" w:firstLine="0"/>
              <w:jc w:val="left"/>
              <w:rPr>
                <w:rFonts w:ascii="Courier New" w:hAnsi="Courier New" w:cs="Courier New" w:eastAsia="Courier New"/>
                <w:spacing w:val="0"/>
                <w:position w:val="0"/>
                <w:shd w:fill="auto" w:val="clear"/>
              </w:rPr>
            </w:pP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Счет</w:t>
            </w:r>
          </w:p>
        </w:tc>
      </w:tr>
      <w:tr>
        <w:trPr>
          <w:trHeight w:val="-451" w:hRule="atLeast"/>
          <w:jc w:val="center"/>
        </w:trPr>
        <w:tc>
          <w:tcPr>
            <w:tcW w:w="564"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220"/>
              <w:ind w:right="0" w:left="0" w:firstLine="0"/>
              <w:jc w:val="both"/>
              <w:rPr>
                <w:rFonts w:ascii="Courier New" w:hAnsi="Courier New" w:cs="Courier New" w:eastAsia="Courier New"/>
                <w:color w:val="auto"/>
                <w:spacing w:val="0"/>
                <w:position w:val="0"/>
                <w:sz w:val="23"/>
                <w:shd w:fill="auto" w:val="clear"/>
              </w:rPr>
            </w:pPr>
          </w:p>
        </w:tc>
        <w:tc>
          <w:tcPr>
            <w:tcW w:w="4776"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color w:val="auto"/>
                <w:spacing w:val="0"/>
                <w:position w:val="0"/>
                <w:sz w:val="23"/>
                <w:shd w:fill="auto" w:val="clear"/>
              </w:rPr>
            </w:pP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Счет-фактура</w:t>
            </w:r>
          </w:p>
        </w:tc>
      </w:tr>
      <w:tr>
        <w:trPr>
          <w:trHeight w:val="-713" w:hRule="atLeast"/>
          <w:jc w:val="center"/>
        </w:trPr>
        <w:tc>
          <w:tcPr>
            <w:tcW w:w="564"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tcBorders>
              <w:top w:val="single" w:color="836967" w:sz="0"/>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реестр контрактов, заключенных заказчиками, или реестр контрактов, содержащий сведения, составляющие государственную тайну (далее</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top"/>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Товарная накладная (унифицированная форма № ТОРГ-12) (ф. 0330212)</w:t>
            </w:r>
          </w:p>
        </w:tc>
      </w:tr>
      <w:tr>
        <w:trPr>
          <w:trHeight w:val="-460" w:hRule="atLeast"/>
          <w:jc w:val="center"/>
        </w:trPr>
        <w:tc>
          <w:tcPr>
            <w:tcW w:w="564"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vMerge w:val="restart"/>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соответственно государственный контракт, реестр контрактов)</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Универсальный передаточный документ</w:t>
            </w:r>
          </w:p>
        </w:tc>
      </w:tr>
      <w:tr>
        <w:trPr>
          <w:trHeight w:val="-456" w:hRule="atLeast"/>
          <w:jc w:val="center"/>
        </w:trPr>
        <w:tc>
          <w:tcPr>
            <w:tcW w:w="564"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Чек</w:t>
            </w:r>
          </w:p>
        </w:tc>
      </w:tr>
      <w:tr>
        <w:trPr>
          <w:trHeight w:val="-2004" w:hRule="atLeast"/>
          <w:jc w:val="center"/>
        </w:trPr>
        <w:tc>
          <w:tcPr>
            <w:tcW w:w="564"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Иной документ, подтверждающий возникновение денежного обязательства получателя средств бюджета (далее - иной документ, подтверждающий возникновение денежного обязательства) по бюджетному обязательству получателя средств бюджета, возникшему на основании муниципального контракта</w:t>
            </w:r>
          </w:p>
        </w:tc>
      </w:tr>
      <w:tr>
        <w:trPr>
          <w:trHeight w:val="-465" w:hRule="atLeast"/>
          <w:jc w:val="center"/>
        </w:trPr>
        <w:tc>
          <w:tcPr>
            <w:tcW w:w="564"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vMerge w:val="restart"/>
            <w:tcBorders>
              <w:top w:val="single" w:color="836967" w:sz="5"/>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62"/>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Муниципальный контракт (договор) на поставку товаров, выполнение работ, оказание</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Акт выполненных работ</w:t>
            </w:r>
          </w:p>
        </w:tc>
      </w:tr>
      <w:tr>
        <w:trPr>
          <w:trHeight w:val="-460" w:hRule="atLeast"/>
          <w:jc w:val="center"/>
        </w:trPr>
        <w:tc>
          <w:tcPr>
            <w:tcW w:w="564"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Акт об оказании услуг</w:t>
            </w:r>
          </w:p>
        </w:tc>
      </w:tr>
      <w:tr>
        <w:trPr>
          <w:trHeight w:val="-447" w:hRule="atLeast"/>
          <w:jc w:val="center"/>
        </w:trPr>
        <w:tc>
          <w:tcPr>
            <w:tcW w:w="564" w:type="dxa"/>
            <w:vMerge w:val="restart"/>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20"/>
              <w:ind w:right="0" w:left="16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3.</w:t>
            </w:r>
          </w:p>
        </w:tc>
        <w:tc>
          <w:tcPr>
            <w:tcW w:w="4776"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53"/>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услуг, сведения о котором не подлежат включению в реестры контрактов в</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Акт приема-передачи</w:t>
            </w:r>
          </w:p>
        </w:tc>
      </w:tr>
      <w:tr>
        <w:trPr>
          <w:trHeight w:val="-975" w:hRule="atLeast"/>
          <w:jc w:val="center"/>
        </w:trPr>
        <w:tc>
          <w:tcPr>
            <w:tcW w:w="564"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20"/>
              <w:ind w:right="0" w:left="0" w:firstLine="0"/>
              <w:jc w:val="both"/>
              <w:rPr>
                <w:rFonts w:ascii="Courier New" w:hAnsi="Courier New" w:cs="Courier New" w:eastAsia="Courier New"/>
                <w:color w:val="auto"/>
                <w:spacing w:val="0"/>
                <w:position w:val="0"/>
                <w:sz w:val="23"/>
                <w:shd w:fill="auto" w:val="clear"/>
              </w:rPr>
            </w:pPr>
          </w:p>
        </w:tc>
        <w:tc>
          <w:tcPr>
            <w:tcW w:w="4776" w:type="dxa"/>
            <w:vMerge w:val="restart"/>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соответствии с законодательством Российской Федерации о контрактной системе в сфере закупок товаров, работ, услуг для обеспечения нужд, договор (соглашение) (далее - договор),</w:t>
            </w:r>
          </w:p>
        </w:tc>
        <w:tc>
          <w:tcPr>
            <w:tcW w:w="5065"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Договор (в случае осуществления авансовых платежей в соответствии с условиями договора, внесения арендной платы по договору)</w:t>
            </w:r>
          </w:p>
        </w:tc>
      </w:tr>
      <w:tr>
        <w:trPr>
          <w:trHeight w:val="-375" w:hRule="atLeast"/>
          <w:jc w:val="center"/>
        </w:trPr>
        <w:tc>
          <w:tcPr>
            <w:tcW w:w="564" w:type="dxa"/>
            <w:tcBorders>
              <w:top w:val="single" w:color="836967" w:sz="0"/>
              <w:left w:val="single" w:color="836967" w:sz="5"/>
              <w:bottom w:val="single" w:color="836967" w:sz="5"/>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76" w:type="dxa"/>
            <w:vMerge/>
            <w:tcBorders>
              <w:top w:val="single" w:color="836967" w:sz="0"/>
              <w:left w:val="single" w:color="836967" w:sz="5"/>
              <w:bottom w:val="single" w:color="836967" w:sz="5"/>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65" w:type="dxa"/>
            <w:tcBorders>
              <w:top w:val="single" w:color="836967" w:sz="5"/>
              <w:left w:val="single" w:color="836967" w:sz="5"/>
              <w:bottom w:val="single" w:color="836967" w:sz="5"/>
              <w:right w:val="single" w:color="836967" w:sz="5"/>
            </w:tcBorders>
            <w:shd w:color="auto" w:fill="ffffff" w:val="clear"/>
            <w:tcMar>
              <w:left w:w="10" w:type="dxa"/>
              <w:right w:w="10" w:type="dxa"/>
            </w:tcMar>
            <w:vAlign w:val="bottom"/>
          </w:tcPr>
          <w:p>
            <w:pPr>
              <w:widowControl w:val="false"/>
              <w:spacing w:before="0" w:after="0" w:line="22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Справка-расчет или иной документ, являющийся</w:t>
            </w:r>
          </w:p>
        </w:tc>
      </w:tr>
    </w:tbl>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tbl>
      <w:tblPr>
        <w:tblInd w:w="45" w:type="dxa"/>
      </w:tblPr>
      <w:tblGrid>
        <w:gridCol w:w="553"/>
        <w:gridCol w:w="4753"/>
        <w:gridCol w:w="5036"/>
      </w:tblGrid>
      <w:tr>
        <w:trPr>
          <w:trHeight w:val="-435" w:hRule="atLeast"/>
          <w:jc w:val="center"/>
        </w:trPr>
        <w:tc>
          <w:tcPr>
            <w:tcW w:w="553"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top"/>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основанием для оплаты неустойки</w:t>
            </w:r>
          </w:p>
        </w:tc>
      </w:tr>
      <w:tr>
        <w:trPr>
          <w:trHeight w:val="-500" w:hRule="atLeast"/>
          <w:jc w:val="center"/>
        </w:trPr>
        <w:tc>
          <w:tcPr>
            <w:tcW w:w="5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Счет</w:t>
            </w:r>
          </w:p>
        </w:tc>
      </w:tr>
      <w:tr>
        <w:trPr>
          <w:trHeight w:val="-500" w:hRule="atLeast"/>
          <w:jc w:val="center"/>
        </w:trPr>
        <w:tc>
          <w:tcPr>
            <w:tcW w:w="5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Счет-фактура</w:t>
            </w:r>
          </w:p>
        </w:tc>
      </w:tr>
      <w:tr>
        <w:trPr>
          <w:trHeight w:val="-782" w:hRule="atLeast"/>
          <w:jc w:val="center"/>
        </w:trPr>
        <w:tc>
          <w:tcPr>
            <w:tcW w:w="5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Товарная накладная (унифицированная форма № ТОРГ-12) (ф. 0330212)</w:t>
            </w:r>
          </w:p>
        </w:tc>
      </w:tr>
      <w:tr>
        <w:trPr>
          <w:trHeight w:val="-500" w:hRule="atLeast"/>
          <w:jc w:val="center"/>
        </w:trPr>
        <w:tc>
          <w:tcPr>
            <w:tcW w:w="5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Универсальный передаточный документ</w:t>
            </w:r>
          </w:p>
        </w:tc>
      </w:tr>
      <w:tr>
        <w:trPr>
          <w:trHeight w:val="-500" w:hRule="atLeast"/>
          <w:jc w:val="center"/>
        </w:trPr>
        <w:tc>
          <w:tcPr>
            <w:tcW w:w="5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Чек</w:t>
            </w:r>
          </w:p>
        </w:tc>
      </w:tr>
      <w:tr>
        <w:trPr>
          <w:trHeight w:val="-1337" w:hRule="atLeast"/>
          <w:jc w:val="center"/>
        </w:trPr>
        <w:tc>
          <w:tcPr>
            <w:tcW w:w="5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53"/>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trPr>
          <w:trHeight w:val="-504" w:hRule="atLeast"/>
          <w:jc w:val="center"/>
        </w:trPr>
        <w:tc>
          <w:tcPr>
            <w:tcW w:w="553"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Бухгалтерская справка (ф. 0504833)</w:t>
            </w:r>
          </w:p>
        </w:tc>
      </w:tr>
      <w:tr>
        <w:trPr>
          <w:trHeight w:val="-1059" w:hRule="atLeast"/>
          <w:jc w:val="center"/>
        </w:trPr>
        <w:tc>
          <w:tcPr>
            <w:tcW w:w="5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53"/>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График выплат по исполнительному документу, предусматривающему выплаты периодического характера</w:t>
            </w:r>
          </w:p>
        </w:tc>
      </w:tr>
      <w:tr>
        <w:trPr>
          <w:trHeight w:val="-500" w:hRule="atLeast"/>
          <w:jc w:val="center"/>
        </w:trPr>
        <w:tc>
          <w:tcPr>
            <w:tcW w:w="553" w:type="dxa"/>
            <w:vMerge w:val="restart"/>
            <w:tcBorders>
              <w:top w:val="single" w:color="836967" w:sz="0"/>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220"/>
              <w:ind w:right="0" w:left="12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4.</w:t>
            </w:r>
          </w:p>
        </w:tc>
        <w:tc>
          <w:tcPr>
            <w:tcW w:w="4753" w:type="dxa"/>
            <w:vMerge w:val="restart"/>
            <w:tcBorders>
              <w:top w:val="single" w:color="836967" w:sz="0"/>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57"/>
              <w:ind w:right="0" w:left="10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Исполнительный документ (исполнительный лист, судебный приказ) (далее - исполнительный документ)</w:t>
            </w: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Исполнительный документ</w:t>
            </w:r>
          </w:p>
        </w:tc>
      </w:tr>
      <w:tr>
        <w:trPr>
          <w:trHeight w:val="-500" w:hRule="atLeast"/>
          <w:jc w:val="center"/>
        </w:trPr>
        <w:tc>
          <w:tcPr>
            <w:tcW w:w="553"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220"/>
              <w:ind w:right="0" w:left="0" w:firstLine="0"/>
              <w:jc w:val="both"/>
              <w:rPr>
                <w:rFonts w:ascii="Courier New" w:hAnsi="Courier New" w:cs="Courier New" w:eastAsia="Courier New"/>
                <w:color w:val="auto"/>
                <w:spacing w:val="0"/>
                <w:position w:val="0"/>
                <w:sz w:val="23"/>
                <w:shd w:fill="auto" w:val="clear"/>
              </w:rPr>
            </w:pPr>
          </w:p>
        </w:tc>
        <w:tc>
          <w:tcPr>
            <w:tcW w:w="4753" w:type="dxa"/>
            <w:vMerge/>
            <w:tcBorders>
              <w:top w:val="single" w:color="836967" w:sz="0"/>
              <w:left w:val="single" w:color="836967" w:sz="5"/>
              <w:bottom w:val="single" w:color="836967" w:sz="0"/>
              <w:right w:val="single" w:color="836967" w:sz="0"/>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color w:val="auto"/>
                <w:spacing w:val="0"/>
                <w:position w:val="0"/>
                <w:sz w:val="23"/>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Справка-расчет</w:t>
            </w:r>
          </w:p>
        </w:tc>
      </w:tr>
      <w:tr>
        <w:trPr>
          <w:trHeight w:val="-1624" w:hRule="atLeast"/>
          <w:jc w:val="center"/>
        </w:trPr>
        <w:tc>
          <w:tcPr>
            <w:tcW w:w="5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trPr>
          <w:trHeight w:val="-510" w:hRule="atLeast"/>
          <w:jc w:val="center"/>
        </w:trPr>
        <w:tc>
          <w:tcPr>
            <w:tcW w:w="553"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5"/>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Бухгалтерская справка (ф. 0504833)</w:t>
            </w:r>
          </w:p>
        </w:tc>
      </w:tr>
      <w:tr>
        <w:trPr>
          <w:trHeight w:val="-500" w:hRule="atLeast"/>
          <w:jc w:val="center"/>
        </w:trPr>
        <w:tc>
          <w:tcPr>
            <w:tcW w:w="5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center"/>
          </w:tcPr>
          <w:p>
            <w:pPr>
              <w:widowControl w:val="false"/>
              <w:spacing w:before="0" w:after="0" w:line="220"/>
              <w:ind w:right="0" w:left="0" w:firstLine="0"/>
              <w:jc w:val="center"/>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Решение налогового органа</w:t>
            </w: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center"/>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Решение налогового органа</w:t>
            </w:r>
          </w:p>
        </w:tc>
      </w:tr>
      <w:tr>
        <w:trPr>
          <w:trHeight w:val="-495" w:hRule="atLeast"/>
          <w:jc w:val="center"/>
        </w:trPr>
        <w:tc>
          <w:tcPr>
            <w:tcW w:w="553" w:type="dxa"/>
            <w:vMerge w:val="restart"/>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20"/>
              <w:ind w:right="0" w:left="120" w:firstLine="0"/>
              <w:jc w:val="left"/>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5.</w:t>
            </w:r>
          </w:p>
        </w:tc>
        <w:tc>
          <w:tcPr>
            <w:tcW w:w="4753" w:type="dxa"/>
            <w:tcBorders>
              <w:top w:val="single" w:color="836967" w:sz="0"/>
              <w:left w:val="single" w:color="836967" w:sz="5"/>
              <w:bottom w:val="single" w:color="836967" w:sz="0"/>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0"/>
              <w:right w:val="single" w:color="836967" w:sz="5"/>
            </w:tcBorders>
            <w:shd w:color="auto" w:fill="ffffff" w:val="clear"/>
            <w:tcMar>
              <w:left w:w="10" w:type="dxa"/>
              <w:right w:w="10" w:type="dxa"/>
            </w:tcMar>
            <w:vAlign w:val="bottom"/>
          </w:tcPr>
          <w:p>
            <w:pPr>
              <w:widowControl w:val="false"/>
              <w:spacing w:before="0" w:after="0" w:line="220"/>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Справка-расчет</w:t>
            </w:r>
          </w:p>
        </w:tc>
      </w:tr>
      <w:tr>
        <w:trPr>
          <w:trHeight w:val="-1638" w:hRule="atLeast"/>
          <w:jc w:val="center"/>
        </w:trPr>
        <w:tc>
          <w:tcPr>
            <w:tcW w:w="553" w:type="dxa"/>
            <w:vMerge/>
            <w:tcBorders>
              <w:top w:val="single" w:color="836967" w:sz="0"/>
              <w:left w:val="single" w:color="836967" w:sz="5"/>
              <w:bottom w:val="single" w:color="836967" w:sz="5"/>
              <w:right w:val="single" w:color="836967" w:sz="0"/>
            </w:tcBorders>
            <w:shd w:color="auto" w:fill="ffffff" w:val="clear"/>
            <w:tcMar>
              <w:left w:w="10" w:type="dxa"/>
              <w:right w:w="10" w:type="dxa"/>
            </w:tcMar>
            <w:vAlign w:val="top"/>
          </w:tcPr>
          <w:p>
            <w:pPr>
              <w:widowControl w:val="false"/>
              <w:spacing w:before="0" w:after="0" w:line="220"/>
              <w:ind w:right="0" w:left="0" w:firstLine="0"/>
              <w:jc w:val="both"/>
              <w:rPr>
                <w:rFonts w:ascii="Courier New" w:hAnsi="Courier New" w:cs="Courier New" w:eastAsia="Courier New"/>
                <w:color w:val="auto"/>
                <w:spacing w:val="0"/>
                <w:position w:val="0"/>
                <w:sz w:val="23"/>
                <w:shd w:fill="auto" w:val="clear"/>
              </w:rPr>
            </w:pPr>
          </w:p>
        </w:tc>
        <w:tc>
          <w:tcPr>
            <w:tcW w:w="4753" w:type="dxa"/>
            <w:tcBorders>
              <w:top w:val="single" w:color="836967" w:sz="0"/>
              <w:left w:val="single" w:color="836967" w:sz="5"/>
              <w:bottom w:val="single" w:color="836967" w:sz="5"/>
              <w:right w:val="single" w:color="836967" w:sz="0"/>
            </w:tcBorders>
            <w:shd w:color="auto" w:fill="ffffff" w:val="clear"/>
            <w:tcMar>
              <w:left w:w="10" w:type="dxa"/>
              <w:right w:w="10" w:type="dxa"/>
            </w:tcMar>
            <w:vAlign w:val="top"/>
          </w:tcPr>
          <w:p>
            <w:pPr>
              <w:widowControl w:val="false"/>
              <w:spacing w:before="0" w:after="0" w:line="240"/>
              <w:ind w:right="0" w:left="0" w:firstLine="0"/>
              <w:jc w:val="left"/>
              <w:rPr>
                <w:rFonts w:ascii="Courier New" w:hAnsi="Courier New" w:cs="Courier New" w:eastAsia="Courier New"/>
                <w:color w:val="auto"/>
                <w:spacing w:val="0"/>
                <w:position w:val="0"/>
                <w:sz w:val="10"/>
                <w:shd w:fill="auto" w:val="clear"/>
              </w:rPr>
            </w:pPr>
          </w:p>
        </w:tc>
        <w:tc>
          <w:tcPr>
            <w:tcW w:w="5036" w:type="dxa"/>
            <w:tcBorders>
              <w:top w:val="single" w:color="836967" w:sz="5"/>
              <w:left w:val="single" w:color="836967" w:sz="5"/>
              <w:bottom w:val="single" w:color="836967" w:sz="5"/>
              <w:right w:val="single" w:color="836967" w:sz="5"/>
            </w:tcBorders>
            <w:shd w:color="auto" w:fill="ffffff" w:val="clear"/>
            <w:tcMar>
              <w:left w:w="10" w:type="dxa"/>
              <w:right w:w="10" w:type="dxa"/>
            </w:tcMar>
            <w:vAlign w:val="center"/>
          </w:tcPr>
          <w:p>
            <w:pPr>
              <w:widowControl w:val="false"/>
              <w:spacing w:before="0" w:after="0" w:line="257"/>
              <w:ind w:right="0" w:left="0" w:firstLine="0"/>
              <w:jc w:val="both"/>
              <w:rPr>
                <w:rFonts w:ascii="Courier New" w:hAnsi="Courier New" w:cs="Courier New" w:eastAsia="Courier New"/>
                <w:spacing w:val="0"/>
                <w:position w:val="0"/>
                <w:shd w:fill="auto" w:val="clear"/>
              </w:rPr>
            </w:pPr>
            <w:r>
              <w:rPr>
                <w:rFonts w:ascii="Courier New" w:hAnsi="Courier New" w:cs="Courier New" w:eastAsia="Courier New"/>
                <w:color w:val="000000"/>
                <w:spacing w:val="0"/>
                <w:position w:val="0"/>
                <w:sz w:val="22"/>
                <w:shd w:fill="auto" w:val="clear"/>
              </w:rPr>
              <w:t xml:space="preserve">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bl>
    <w:p>
      <w:pPr>
        <w:widowControl w:val="false"/>
        <w:spacing w:before="0" w:after="0" w:line="240"/>
        <w:ind w:right="0" w:left="0" w:firstLine="0"/>
        <w:jc w:val="left"/>
        <w:rPr>
          <w:rFonts w:ascii="Courier New" w:hAnsi="Courier New" w:cs="Courier New" w:eastAsia="Courier New"/>
          <w:color w:val="auto"/>
          <w:spacing w:val="0"/>
          <w:position w:val="0"/>
          <w:sz w:val="2"/>
          <w:shd w:fill="auto" w:val="clear"/>
        </w:rPr>
      </w:pPr>
    </w:p>
    <w:p>
      <w:pPr>
        <w:widowControl w:val="false"/>
        <w:spacing w:before="0" w:after="0" w:line="334"/>
        <w:ind w:right="0" w:left="0" w:firstLine="0"/>
        <w:jc w:val="left"/>
        <w:rPr>
          <w:rFonts w:ascii="Courier New" w:hAnsi="Courier New" w:cs="Courier New" w:eastAsia="Courier New"/>
          <w:color w:val="auto"/>
          <w:spacing w:val="0"/>
          <w:position w:val="0"/>
          <w:sz w:val="13"/>
          <w:shd w:fill="auto" w:val="clear"/>
        </w:rPr>
      </w:pPr>
    </w:p>
  </w:body>
</w:document>
</file>

<file path=word/numbering.xml><?xml version="1.0" encoding="utf-8"?>
<w:numbering xmlns:w="http://schemas.openxmlformats.org/wordprocessingml/2006/main">
  <w:abstractNum w:abstractNumId="1">
    <w:lvl w:ilvl="0">
      <w:start w:val="1"/>
      <w:numFmt w:val="decimal"/>
      <w:lvlText w:val="%1."/>
    </w:lvl>
  </w:abstractNum>
  <w:abstractNum w:abstractNumId="7">
    <w:lvl w:ilvl="0">
      <w:start w:val="1"/>
      <w:numFmt w:val="decimal"/>
      <w:lvlText w:val="%1."/>
    </w:lvl>
  </w:abstractNum>
  <w:abstractNum w:abstractNumId="5">
    <w:lvl w:ilvl="0">
      <w:start w:val="1"/>
      <w:numFmt w:val="upperRoman"/>
      <w:lvlText w:val="%1."/>
    </w:lvl>
  </w:abstractNum>
  <w:abstractNum w:abstractNumId="13">
    <w:lvl w:ilvl="0">
      <w:start w:val="1"/>
      <w:numFmt w:val="decimal"/>
      <w:lvlText w:val="%1."/>
    </w:lvl>
  </w:abstractNum>
  <w:abstractNum w:abstractNumId="0">
    <w:lvl w:ilvl="0">
      <w:start w:val="1"/>
      <w:numFmt w:val="bullet"/>
      <w:lvlText w:val="•"/>
    </w:lvl>
  </w:abstractNum>
  <w:abstractNum w:abstractNumId="19">
    <w:lvl w:ilvl="0">
      <w:start w:val="1"/>
      <w:numFmt w:val="decimal"/>
      <w:lvlText w:val="%1."/>
    </w:lvl>
  </w:abstractNum>
  <w:abstractNum w:abstractNumId="25">
    <w:lvl w:ilvl="0">
      <w:start w:val="1"/>
      <w:numFmt w:val="decimal"/>
      <w:lvlText w:val="%1."/>
    </w:lvl>
  </w:abstractNum>
  <w:abstractNum w:abstractNumId="31">
    <w:lvl w:ilvl="0">
      <w:start w:val="1"/>
      <w:numFmt w:val="decimal"/>
      <w:lvlText w:val="%1."/>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12">
    <w:abstractNumId w:val="31"/>
  </w:num>
  <w:num w:numId="23">
    <w:abstractNumId w:val="25"/>
  </w:num>
  <w:num w:numId="26">
    <w:abstractNumId w:val="5"/>
  </w:num>
  <w:num w:numId="27">
    <w:abstractNumId w:val="19"/>
  </w:num>
  <w:num w:numId="30">
    <w:abstractNumId w:val="18"/>
  </w:num>
  <w:num w:numId="32">
    <w:abstractNumId w:val="13"/>
  </w:num>
  <w:num w:numId="37">
    <w:abstractNumId w:val="7"/>
  </w:num>
  <w:num w:numId="41">
    <w:abstractNumId w:val="1"/>
  </w:num>
  <w:num w:numId="43">
    <w:abstractNumId w:val="12"/>
  </w:num>
  <w:num w:numId="46">
    <w:abstractNumId w:val="6"/>
  </w:num>
  <w:num w:numId="4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